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3E30C" w14:textId="48ED8190"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b/>
          <w:bCs/>
          <w:color w:val="000000"/>
          <w:kern w:val="0"/>
          <w:sz w:val="24"/>
          <w:szCs w:val="24"/>
          <w14:ligatures w14:val="none"/>
        </w:rPr>
      </w:pPr>
      <w:r>
        <w:rPr>
          <w:rFonts w:ascii="Calibri" w:hAnsi="Calibri"/>
          <w:b/>
          <w:bCs/>
          <w:color w:val="000000"/>
          <w:sz w:val="24"/>
          <w:szCs w:val="24"/>
        </w:rPr>
        <w:t>L’incivilité sous l’angle de l’intersectionnalité : défis particuliers et conseils d’accompagnement pour les travailleurs en situation de handicap</w:t>
      </w:r>
    </w:p>
    <w:p w14:paraId="1C7A06A6" w14:textId="77777777" w:rsidR="003C1B91" w:rsidRPr="004C7F09"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L’incivilité au travail est souvent présentée comme une expérience universelle, mais la réalité est bien plus complexe. Pour les employeurs, il est essentiel de comprendre que tous les employés ne sont pas confrontés à l’incivilité de la même manière. Des facteurs tels que le handicap, qu’il soit visible ou invisible, peuvent considérablement influencer la façon dont chaque personne est touchée par les comportements impolis ou irrespectueux.</w:t>
      </w:r>
    </w:p>
    <w:p w14:paraId="105DC621" w14:textId="77777777" w:rsidR="003C1B91" w:rsidRPr="004C7F09"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Les employés en situation de handicap sont fréquemment confrontés à des défis particuliers qui amplifient l’effet de l’incivilité. Ces défis peuvent découler de différences physiques, sensorielles ou cognitives, mais aussi de situations moins visibles telles que les maladies chroniques, les troubles de santé mentale ou la neurodiversité. Lorsque l’incivilité se conjugue à des préjugés, à des partis pris ou à la stigmatisation concernant les capacités, elle peut créer des environnements dans lesquels certains employés sont plus vulnérables à l’exclusion, au contrôle ou aux préjudices.</w:t>
      </w:r>
    </w:p>
    <w:p w14:paraId="78869FD3" w14:textId="77777777" w:rsidR="003C1B91" w:rsidRPr="004A5939"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Mes recherches, menées à travers des évaluations en milieu de travail et des études de groupes de discussion visant à comprendre les expériences des employés, montrent toutes que les employés en situation de handicap vivent souvent des expériences professionnelles différentes et moins optimales que celles des employés valides. Ces employés peuvent être confrontés à des microagressions, à un scepticisme quant à leurs capacités ou à des obstacles à leur pleine participation auxquels les autres employés ne sont pas confrontés. Cette vulnérabilité accrue signifie que les conséquences de l’incivilité peuvent se traduire par un sentiment d’être moins valorisés et respectés que leurs pairs ne souffrant pas de handicap.</w:t>
      </w:r>
    </w:p>
    <w:p w14:paraId="5FAE5890" w14:textId="77777777" w:rsidR="003C1B91" w:rsidRPr="004A5939"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Pour les organisations engagées en faveur de la sécurité psychologique et de l’inclusion, reconnaître ces différences n’est pas seulement une question d’équité, c’est essentiel pour créer un lieu de travail psychologiquement sûr pour tous. En comprenant et en traitant les risques spécifiques auxquels sont confrontés les travailleurs en situation de handicap, les employeurs peuvent créer des lieux de travail plus équitables et respectueux où chaque employé peut se sentir valorisé et respecté.  </w:t>
      </w:r>
    </w:p>
    <w:p w14:paraId="3E887058"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b/>
          <w:bCs/>
          <w:color w:val="000000"/>
          <w:kern w:val="0"/>
          <w:sz w:val="24"/>
          <w:szCs w:val="24"/>
          <w14:ligatures w14:val="none"/>
        </w:rPr>
      </w:pPr>
      <w:r>
        <w:rPr>
          <w:rFonts w:ascii="Calibri" w:hAnsi="Calibri"/>
          <w:b/>
          <w:bCs/>
          <w:color w:val="000000"/>
          <w:sz w:val="24"/>
          <w:szCs w:val="24"/>
        </w:rPr>
        <w:t>Comprendre l’intersectionnalité dans l’incivilité</w:t>
      </w:r>
    </w:p>
    <w:p w14:paraId="134AA641"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L’intersectionnalité reconnaît que les individus possèdent de multiples identités qui se recoupent et façonnent leurs expériences. Pour les travailleurs en situation de handicap, l’incivilité ne se résume pas nécessairement à un simple acte grossier. Elle peut être aggravée par des préjugés sous-jacents, des stéréotypes ou des perceptions de faiblesse. Ces facteurs peuvent se manifester de manière subtile : commentaires dédaigneux, exclusion des réunions, ignorance des demandes d’aménagements raisonnables ou remise en cause de la légitimité de handicaps invisibles, tels que la douleur chronique ou les troubles de santé mentale.</w:t>
      </w:r>
    </w:p>
    <w:p w14:paraId="31D8CDA0"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b/>
          <w:bCs/>
          <w:color w:val="000000"/>
          <w:kern w:val="0"/>
          <w:sz w:val="24"/>
          <w:szCs w:val="24"/>
          <w14:ligatures w14:val="none"/>
        </w:rPr>
      </w:pPr>
      <w:r>
        <w:rPr>
          <w:rFonts w:ascii="Calibri" w:hAnsi="Calibri"/>
          <w:b/>
          <w:bCs/>
          <w:color w:val="000000"/>
          <w:sz w:val="24"/>
          <w:szCs w:val="24"/>
        </w:rPr>
        <w:t>Les dynamiques de pouvoir liées à la perception de la faiblesse</w:t>
      </w:r>
    </w:p>
    <w:p w14:paraId="65554DF0"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lastRenderedPageBreak/>
        <w:t>Lorsque le handicap est perçu comme une faiblesse, cela peut donner à d’autres l’occasion d’exercer un contrôle, que ce soit intentionnellement ou non. Par exemple, un responsable peut ignorer l’avis des employés en situation de handicap, ou des collègues peuvent prendre des décisions sans les consulter. De tels actes, même s’ils sont d’une faible intensité, peuvent susciter un sentiment de manque de respect, éroder la confiance et renforcer le sentiment d’isolement. Les handicaps invisibles sont souvent mal compris, ce qui conduit au scepticisme ou à la minimisation de l’expérience vécue.</w:t>
      </w:r>
    </w:p>
    <w:p w14:paraId="149BCFB9"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b/>
          <w:bCs/>
          <w:color w:val="000000"/>
          <w:kern w:val="0"/>
          <w:sz w:val="24"/>
          <w:szCs w:val="24"/>
          <w14:ligatures w14:val="none"/>
        </w:rPr>
      </w:pPr>
      <w:r>
        <w:rPr>
          <w:rFonts w:ascii="Calibri" w:hAnsi="Calibri"/>
          <w:b/>
          <w:bCs/>
          <w:color w:val="000000"/>
          <w:sz w:val="24"/>
          <w:szCs w:val="24"/>
        </w:rPr>
        <w:t>Préjugés et obstacles à l’inclusion</w:t>
      </w:r>
    </w:p>
    <w:p w14:paraId="387CB663"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Les préjugés, qu’ils soient conscients ou inconscients, peuvent influencer la manière dont l’incivilité s’exprime et est vécue. Les travailleurs en situation de handicap sont plus susceptibles d’être la cible de microagressions, d’attitudes condescendantes ou de pratiques d’exclusion. En plus de saper la sécurité psychologique, ces comportements perpétuent une culture où la différence est perçue comme un handicap plutôt que comme une force.</w:t>
      </w:r>
    </w:p>
    <w:p w14:paraId="236DC710"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b/>
          <w:bCs/>
          <w:color w:val="000000"/>
          <w:kern w:val="0"/>
          <w:sz w:val="24"/>
          <w:szCs w:val="24"/>
          <w14:ligatures w14:val="none"/>
        </w:rPr>
      </w:pPr>
      <w:r>
        <w:rPr>
          <w:rFonts w:ascii="Calibri" w:hAnsi="Calibri"/>
          <w:b/>
          <w:bCs/>
          <w:color w:val="000000"/>
          <w:sz w:val="24"/>
          <w:szCs w:val="24"/>
        </w:rPr>
        <w:t>Créer des milieux de travail sûrs et respectueux pour tous</w:t>
      </w:r>
    </w:p>
    <w:p w14:paraId="457A7526"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Pour aborder l’incivilité sous un angle intersectionnel, il faut commencer par reconnaître qu’une approche universelle ne suffit pas. Les employeurs et les dirigeants doivent s’engager dans la lutte contre les préjugés, sensibiliser les équipes aux handicaps visibles et invisibles, et favoriser des environnements où tous les employés se sentent valorisés et respectés. Cela passe notamment par la mise en place de formations sur la sensibilisation au handicap et à l’inclusion, par l’encouragement d’un dialogue ouvert sur les aménagements et les besoins de soutien, et par la promotion de comportements de solidarité où les collègues interviennent ou soutiennent les personnes qui sont victimes d’incivilité.</w:t>
      </w:r>
    </w:p>
    <w:p w14:paraId="05ECFF76"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b/>
          <w:bCs/>
          <w:color w:val="000000"/>
          <w:kern w:val="0"/>
          <w:sz w:val="24"/>
          <w:szCs w:val="24"/>
          <w14:ligatures w14:val="none"/>
        </w:rPr>
      </w:pPr>
      <w:r>
        <w:rPr>
          <w:rFonts w:ascii="Calibri" w:hAnsi="Calibri"/>
          <w:b/>
          <w:bCs/>
          <w:color w:val="000000"/>
          <w:sz w:val="24"/>
          <w:szCs w:val="24"/>
        </w:rPr>
        <w:t>Donner les moyens d’agir aux employés en situation de handicap</w:t>
      </w:r>
    </w:p>
    <w:p w14:paraId="7010FE5F"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Les employés en situation de handicap doivent être encouragés à dénoncer les comportements incivils sans craindre de représailles ou de jugements. Les entreprises peuvent les y aider en mettant à leur disposition des canaux de signalement confidentiels, des réseaux de soutien par les pairs et l’accès à des ressources sur la santé mentale. Les dirigeants doivent donner l’exemple en adoptant des comportements inclusifs et en répondant rapidement aux préoccupations, en rappelant que la civilité est une responsabilité partagée. </w:t>
      </w:r>
    </w:p>
    <w:p w14:paraId="56FB7EAB"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b/>
          <w:bCs/>
          <w:color w:val="000000"/>
          <w:kern w:val="0"/>
          <w:sz w:val="24"/>
          <w:szCs w:val="24"/>
          <w14:ligatures w14:val="none"/>
        </w:rPr>
      </w:pPr>
      <w:r>
        <w:rPr>
          <w:rFonts w:ascii="Calibri" w:hAnsi="Calibri"/>
          <w:b/>
          <w:bCs/>
          <w:color w:val="000000"/>
          <w:sz w:val="24"/>
          <w:szCs w:val="24"/>
        </w:rPr>
        <w:t>Cinq conseils pour accompagner les travailleurs en situation de handicap et les protéger contre l’incivilité</w:t>
      </w:r>
    </w:p>
    <w:p w14:paraId="09373F37"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b/>
          <w:color w:val="000000"/>
          <w:sz w:val="24"/>
          <w:szCs w:val="24"/>
        </w:rPr>
        <w:t xml:space="preserve">1. Normaliser et encourager la divulgation en toute sécurité – </w:t>
      </w:r>
      <w:r>
        <w:rPr>
          <w:rFonts w:ascii="Calibri" w:hAnsi="Calibri"/>
          <w:color w:val="000000"/>
          <w:sz w:val="24"/>
          <w:szCs w:val="24"/>
        </w:rPr>
        <w:t xml:space="preserve">Créez une culture dans laquelle les employés se sentent en sécurité pour révéler leur handicap (visible ou invisible) sans craindre le scepticisme, les préjugés ou les représailles. Les dirigeants et les accompagnateurs doivent déclarer explicitement que toute divulgation d’information sera traitée avec respect et </w:t>
      </w:r>
      <w:r>
        <w:rPr>
          <w:rFonts w:ascii="Calibri" w:hAnsi="Calibri"/>
          <w:color w:val="000000"/>
          <w:sz w:val="24"/>
          <w:szCs w:val="24"/>
        </w:rPr>
        <w:lastRenderedPageBreak/>
        <w:t>confidentialité et validée avec empathie, en rappelant que les aménagements raisonnables sont un droit, et non un fardeau.</w:t>
      </w:r>
    </w:p>
    <w:p w14:paraId="2780D356"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b/>
          <w:color w:val="000000"/>
          <w:sz w:val="24"/>
          <w:szCs w:val="24"/>
        </w:rPr>
        <w:t xml:space="preserve">2. Accompagner l’affirmation de soi et la définition des limites – </w:t>
      </w:r>
      <w:r>
        <w:rPr>
          <w:rFonts w:ascii="Calibri" w:hAnsi="Calibri"/>
          <w:color w:val="000000"/>
          <w:sz w:val="24"/>
          <w:szCs w:val="24"/>
        </w:rPr>
        <w:t>Donnez aux employés les moyens de communiquer leurs besoins et leurs limites avec assurance. Entraînez-les à formuler des demandes d’aménagements ou à réagir face à l’incivilité, mettez en scène des situations où ils s’expriment face au manque de respect ou à l’exclusion, et insistez sur le fait que défendre ses propres intérêts est une force, et non une faiblesse.</w:t>
      </w:r>
    </w:p>
    <w:p w14:paraId="1438401E"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b/>
          <w:color w:val="000000"/>
          <w:sz w:val="24"/>
          <w:szCs w:val="24"/>
        </w:rPr>
        <w:t xml:space="preserve">3. Sensibiliser les équipes au handicap et à l’intersectionnalité – </w:t>
      </w:r>
      <w:r>
        <w:rPr>
          <w:rFonts w:ascii="Calibri" w:hAnsi="Calibri"/>
          <w:color w:val="000000"/>
          <w:sz w:val="24"/>
          <w:szCs w:val="24"/>
        </w:rPr>
        <w:t>Proposez régulièrement à l’ensemble du personnel des formations sur l’inclusion des personnes en situation de handicap, l’intersectionnalité et la civilité. Aborder à la fois les handicaps visibles et invisibles, démystifier les mythes et les stéréotypes, et enseigner des microcompétences pour adopter un comportement de défenseur : comment intervenir ou soutenir des collègues victimes d’incivilités.</w:t>
      </w:r>
    </w:p>
    <w:p w14:paraId="4D008960"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b/>
          <w:bCs/>
          <w:color w:val="000000"/>
          <w:sz w:val="24"/>
          <w:szCs w:val="24"/>
        </w:rPr>
        <w:t xml:space="preserve">4. Donner l’exemple et renforcer une communication inclusive – </w:t>
      </w:r>
      <w:r>
        <w:rPr>
          <w:rFonts w:ascii="Calibri" w:hAnsi="Calibri"/>
          <w:color w:val="000000"/>
          <w:sz w:val="24"/>
          <w:szCs w:val="24"/>
        </w:rPr>
        <w:t>Les responsables et les accompagnateurs doivent systématiquement donner l’exemple d’une communication respectueuse et sans jugement. Lors des discussions sur les performances ou le comportement, parler de ce qui a été observé, sans utiliser des étiquettes. Faire preuve de curiosité et d’empathie, consigner les interactions avec intégrité et confidentialité, et assurer un suivi pour s’assurer que les problèmes sont résolus.</w:t>
      </w:r>
    </w:p>
    <w:p w14:paraId="28A316D8"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b/>
          <w:color w:val="000000"/>
          <w:sz w:val="24"/>
          <w:szCs w:val="24"/>
        </w:rPr>
        <w:t xml:space="preserve">5. Mettre en place et promouvoir des canaux de signalement et de soutien accessibles – </w:t>
      </w:r>
      <w:r>
        <w:rPr>
          <w:rFonts w:ascii="Calibri" w:hAnsi="Calibri"/>
          <w:color w:val="000000"/>
          <w:sz w:val="24"/>
          <w:szCs w:val="24"/>
        </w:rPr>
        <w:t>Veillez à ce que les employés sachent comment signaler un manque de civilité ou demander de l’aide, et à ce que ces canaux soient accessibles et confidentiels. Expliquez aux employés le processus de signalement et les aides disponibles, encourager l’utilisation de lignes d’assistance anonymes ou de systèmes en ligne si nécessaire, et assurer un suivi après les incidents pour s’assurer de leur bien-être et garantir la résolution du problème.</w:t>
      </w:r>
    </w:p>
    <w:p w14:paraId="13B036AF"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b/>
          <w:bCs/>
          <w:color w:val="000000"/>
          <w:sz w:val="24"/>
          <w:szCs w:val="24"/>
        </w:rPr>
        <w:t xml:space="preserve"> </w:t>
      </w:r>
      <w:r>
        <w:rPr>
          <w:rFonts w:ascii="Calibri" w:hAnsi="Calibri"/>
          <w:color w:val="000000"/>
          <w:sz w:val="24"/>
          <w:szCs w:val="24"/>
        </w:rPr>
        <w:t>L’incivilité au travail n’est pas vécue de la même manière par tous. En l’abordant sous un angle intersectionnel et en mettant en œuvre des stratégies d’accompagnement ciblées, les organisations peuvent mieux comprendre les vulnérabilités particulières auxquelles sont confrontés les travailleurs en situation de handicap et prendre des mesures concrètes pour créer des lieux de travail véritablement inclusifs et respectueux. Lorsque chaque employé, quelles que soient ses capacités, se sent en sécurité, valorisé et responsabilisé, c’est l’ensemble de l’organisation qui en bénéficie.</w:t>
      </w:r>
    </w:p>
    <w:p w14:paraId="6A2EA5B9" w14:textId="77777777" w:rsidR="003C1B91" w:rsidRPr="00ED1A73"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lang w:eastAsia="en-CA"/>
          <w14:ligatures w14:val="none"/>
        </w:rPr>
      </w:pPr>
    </w:p>
    <w:p w14:paraId="1A98955B" w14:textId="77777777" w:rsidR="003C1B91" w:rsidRDefault="003C1B91" w:rsidP="003C1B91">
      <w:pPr>
        <w:shd w:val="clear" w:color="auto" w:fill="FFFFFF"/>
        <w:spacing w:before="100" w:beforeAutospacing="1" w:after="100" w:afterAutospacing="1" w:line="240" w:lineRule="auto"/>
        <w:outlineLvl w:val="2"/>
        <w:rPr>
          <w:rFonts w:ascii="Calibri" w:eastAsia="Times New Roman" w:hAnsi="Calibri" w:cs="Calibri"/>
          <w:b/>
          <w:bCs/>
          <w:color w:val="000000"/>
          <w:kern w:val="0"/>
          <w:sz w:val="24"/>
          <w:szCs w:val="24"/>
          <w:lang w:eastAsia="en-CA"/>
          <w14:ligatures w14:val="none"/>
        </w:rPr>
      </w:pPr>
    </w:p>
    <w:p w14:paraId="6AA69428" w14:textId="77777777" w:rsidR="003C1B91" w:rsidRDefault="003C1B91" w:rsidP="003C1B91">
      <w:pPr>
        <w:shd w:val="clear" w:color="auto" w:fill="FFFFFF"/>
        <w:spacing w:before="100" w:beforeAutospacing="1" w:after="100" w:afterAutospacing="1" w:line="240" w:lineRule="auto"/>
        <w:outlineLvl w:val="2"/>
        <w:rPr>
          <w:rFonts w:ascii="Calibri" w:eastAsia="Times New Roman" w:hAnsi="Calibri" w:cs="Calibri"/>
          <w:b/>
          <w:bCs/>
          <w:color w:val="000000"/>
          <w:kern w:val="0"/>
          <w:sz w:val="24"/>
          <w:szCs w:val="24"/>
          <w:lang w:eastAsia="en-CA"/>
          <w14:ligatures w14:val="none"/>
        </w:rPr>
      </w:pPr>
    </w:p>
    <w:p w14:paraId="138EA30B" w14:textId="77777777" w:rsidR="003C1B91" w:rsidRPr="00491321" w:rsidRDefault="003C1B91" w:rsidP="003C1B91">
      <w:pPr>
        <w:rPr>
          <w:rFonts w:ascii="Calibri" w:hAnsi="Calibri" w:cs="Calibri"/>
          <w:sz w:val="24"/>
          <w:szCs w:val="24"/>
        </w:rPr>
      </w:pPr>
    </w:p>
    <w:p w14:paraId="62118EAC" w14:textId="77777777" w:rsidR="003C1B91" w:rsidRDefault="003C1B91" w:rsidP="003C1B91">
      <w:pPr>
        <w:rPr>
          <w:rFonts w:ascii="Calibri" w:hAnsi="Calibri" w:cs="Calibri"/>
          <w:sz w:val="24"/>
          <w:szCs w:val="24"/>
        </w:rPr>
      </w:pPr>
    </w:p>
    <w:p w14:paraId="569B46BB" w14:textId="77777777" w:rsidR="003C1B91"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lang w:eastAsia="en-CA"/>
          <w14:ligatures w14:val="none"/>
        </w:rPr>
      </w:pPr>
    </w:p>
    <w:p w14:paraId="1DF56381" w14:textId="77777777" w:rsidR="003C1B91" w:rsidRDefault="003C1B91" w:rsidP="003C1B91">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lang w:eastAsia="en-CA"/>
          <w14:ligatures w14:val="none"/>
        </w:rPr>
      </w:pPr>
    </w:p>
    <w:p w14:paraId="38E5E29F" w14:textId="3C4EDD7D" w:rsidR="005B4C6D" w:rsidRDefault="005B4C6D" w:rsidP="003C1B91">
      <w:pPr>
        <w:shd w:val="clear" w:color="auto" w:fill="FFFFFF"/>
        <w:spacing w:before="100" w:beforeAutospacing="1" w:after="100" w:afterAutospacing="1" w:line="240" w:lineRule="auto"/>
        <w:outlineLvl w:val="2"/>
        <w:rPr>
          <w:rFonts w:ascii="Calibri" w:eastAsia="Times New Roman" w:hAnsi="Calibri" w:cs="Calibri"/>
          <w:b/>
          <w:bCs/>
          <w:color w:val="000000"/>
          <w:kern w:val="0"/>
          <w:sz w:val="24"/>
          <w:szCs w:val="24"/>
          <w:lang w:eastAsia="en-CA"/>
          <w14:ligatures w14:val="none"/>
        </w:rPr>
      </w:pPr>
    </w:p>
    <w:sectPr w:rsidR="005B4C6D" w:rsidSect="008F4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6579"/>
    <w:multiLevelType w:val="multilevel"/>
    <w:tmpl w:val="3226350C"/>
    <w:lvl w:ilvl="0">
      <w:start w:val="1"/>
      <w:numFmt w:val="bullet"/>
      <w:lvlText w:val="o"/>
      <w:lvlJc w:val="left"/>
      <w:pPr>
        <w:tabs>
          <w:tab w:val="num" w:pos="2520"/>
        </w:tabs>
        <w:ind w:left="2520" w:hanging="360"/>
      </w:pPr>
      <w:rPr>
        <w:rFonts w:ascii="Courier New" w:hAnsi="Courier New" w:cs="Courier New"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 w15:restartNumberingAfterBreak="0">
    <w:nsid w:val="0A1D2C6E"/>
    <w:multiLevelType w:val="multilevel"/>
    <w:tmpl w:val="76FE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53F44"/>
    <w:multiLevelType w:val="multilevel"/>
    <w:tmpl w:val="51604B1E"/>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0F53A2D"/>
    <w:multiLevelType w:val="multilevel"/>
    <w:tmpl w:val="BA50390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36EB6"/>
    <w:multiLevelType w:val="multilevel"/>
    <w:tmpl w:val="C37AA2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CD5E8A"/>
    <w:multiLevelType w:val="multilevel"/>
    <w:tmpl w:val="5E26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D2DA5"/>
    <w:multiLevelType w:val="multilevel"/>
    <w:tmpl w:val="B81C9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646056"/>
    <w:multiLevelType w:val="multilevel"/>
    <w:tmpl w:val="7C94A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3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3A4E38"/>
    <w:multiLevelType w:val="multilevel"/>
    <w:tmpl w:val="5E9857E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363584"/>
    <w:multiLevelType w:val="multilevel"/>
    <w:tmpl w:val="ECA4F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1030A8"/>
    <w:multiLevelType w:val="hybridMultilevel"/>
    <w:tmpl w:val="D50E38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44337DB"/>
    <w:multiLevelType w:val="multilevel"/>
    <w:tmpl w:val="3B2C9A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5441FE"/>
    <w:multiLevelType w:val="multilevel"/>
    <w:tmpl w:val="3034830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DD4CA7"/>
    <w:multiLevelType w:val="multilevel"/>
    <w:tmpl w:val="E222DA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A36F57"/>
    <w:multiLevelType w:val="multilevel"/>
    <w:tmpl w:val="B18E2286"/>
    <w:lvl w:ilvl="0">
      <w:start w:val="1"/>
      <w:numFmt w:val="bullet"/>
      <w:lvlText w:val="o"/>
      <w:lvlJc w:val="left"/>
      <w:pPr>
        <w:tabs>
          <w:tab w:val="num" w:pos="1800"/>
        </w:tabs>
        <w:ind w:left="1800" w:hanging="360"/>
      </w:pPr>
      <w:rPr>
        <w:rFonts w:ascii="Courier New" w:hAnsi="Courier New" w:cs="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5" w15:restartNumberingAfterBreak="0">
    <w:nsid w:val="4D67227C"/>
    <w:multiLevelType w:val="multilevel"/>
    <w:tmpl w:val="540E16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A92A02"/>
    <w:multiLevelType w:val="multilevel"/>
    <w:tmpl w:val="19785E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3907FE"/>
    <w:multiLevelType w:val="multilevel"/>
    <w:tmpl w:val="1A4421B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58005091"/>
    <w:multiLevelType w:val="multilevel"/>
    <w:tmpl w:val="208E3E3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9A54A35"/>
    <w:multiLevelType w:val="multilevel"/>
    <w:tmpl w:val="0950C5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B2BA2"/>
    <w:multiLevelType w:val="multilevel"/>
    <w:tmpl w:val="FE12C7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1440" w:hanging="360"/>
      </w:pPr>
      <w:rPr>
        <w:rFonts w:hint="default"/>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CD1C58"/>
    <w:multiLevelType w:val="multilevel"/>
    <w:tmpl w:val="3B72D5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A048CB"/>
    <w:multiLevelType w:val="multilevel"/>
    <w:tmpl w:val="E832683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0600DE"/>
    <w:multiLevelType w:val="multilevel"/>
    <w:tmpl w:val="5C14C0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D0011B"/>
    <w:multiLevelType w:val="multilevel"/>
    <w:tmpl w:val="B8263DC2"/>
    <w:lvl w:ilvl="0">
      <w:start w:val="1"/>
      <w:numFmt w:val="bullet"/>
      <w:lvlText w:val="o"/>
      <w:lvlJc w:val="left"/>
      <w:pPr>
        <w:tabs>
          <w:tab w:val="num" w:pos="2520"/>
        </w:tabs>
        <w:ind w:left="2520" w:hanging="360"/>
      </w:pPr>
      <w:rPr>
        <w:rFonts w:ascii="Courier New" w:hAnsi="Courier New" w:cs="Courier New"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25" w15:restartNumberingAfterBreak="0">
    <w:nsid w:val="7CD24DEA"/>
    <w:multiLevelType w:val="multilevel"/>
    <w:tmpl w:val="B322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1989791">
    <w:abstractNumId w:val="11"/>
  </w:num>
  <w:num w:numId="2" w16cid:durableId="1777477495">
    <w:abstractNumId w:val="20"/>
  </w:num>
  <w:num w:numId="3" w16cid:durableId="1182621764">
    <w:abstractNumId w:val="5"/>
  </w:num>
  <w:num w:numId="4" w16cid:durableId="1738475321">
    <w:abstractNumId w:val="10"/>
  </w:num>
  <w:num w:numId="5" w16cid:durableId="1134760066">
    <w:abstractNumId w:val="25"/>
  </w:num>
  <w:num w:numId="6" w16cid:durableId="901913546">
    <w:abstractNumId w:val="14"/>
  </w:num>
  <w:num w:numId="7" w16cid:durableId="841505941">
    <w:abstractNumId w:val="0"/>
  </w:num>
  <w:num w:numId="8" w16cid:durableId="1255362194">
    <w:abstractNumId w:val="16"/>
  </w:num>
  <w:num w:numId="9" w16cid:durableId="1218316771">
    <w:abstractNumId w:val="9"/>
  </w:num>
  <w:num w:numId="10" w16cid:durableId="1426801270">
    <w:abstractNumId w:val="6"/>
  </w:num>
  <w:num w:numId="11" w16cid:durableId="352461917">
    <w:abstractNumId w:val="15"/>
  </w:num>
  <w:num w:numId="12" w16cid:durableId="412894352">
    <w:abstractNumId w:val="21"/>
  </w:num>
  <w:num w:numId="13" w16cid:durableId="284965210">
    <w:abstractNumId w:val="4"/>
  </w:num>
  <w:num w:numId="14" w16cid:durableId="1582179598">
    <w:abstractNumId w:val="1"/>
  </w:num>
  <w:num w:numId="15" w16cid:durableId="1643080333">
    <w:abstractNumId w:val="22"/>
  </w:num>
  <w:num w:numId="16" w16cid:durableId="2122914628">
    <w:abstractNumId w:val="8"/>
  </w:num>
  <w:num w:numId="17" w16cid:durableId="275526711">
    <w:abstractNumId w:val="3"/>
  </w:num>
  <w:num w:numId="18" w16cid:durableId="1635408162">
    <w:abstractNumId w:val="23"/>
  </w:num>
  <w:num w:numId="19" w16cid:durableId="1238126237">
    <w:abstractNumId w:val="2"/>
  </w:num>
  <w:num w:numId="20" w16cid:durableId="1238201959">
    <w:abstractNumId w:val="17"/>
  </w:num>
  <w:num w:numId="21" w16cid:durableId="146094954">
    <w:abstractNumId w:val="19"/>
  </w:num>
  <w:num w:numId="22" w16cid:durableId="2083210803">
    <w:abstractNumId w:val="18"/>
  </w:num>
  <w:num w:numId="23" w16cid:durableId="1534029658">
    <w:abstractNumId w:val="7"/>
  </w:num>
  <w:num w:numId="24" w16cid:durableId="2055548">
    <w:abstractNumId w:val="12"/>
  </w:num>
  <w:num w:numId="25" w16cid:durableId="1660234106">
    <w:abstractNumId w:val="13"/>
  </w:num>
  <w:num w:numId="26" w16cid:durableId="503516339">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cwNDE0NDaytLA0MzBW0lEKTi0uzszPAykwqgUA0Gn8VywAAAA="/>
  </w:docVars>
  <w:rsids>
    <w:rsidRoot w:val="0041435D"/>
    <w:rsid w:val="000034B0"/>
    <w:rsid w:val="000106FC"/>
    <w:rsid w:val="00010DEF"/>
    <w:rsid w:val="00013F88"/>
    <w:rsid w:val="00016BD7"/>
    <w:rsid w:val="00037B45"/>
    <w:rsid w:val="0004020F"/>
    <w:rsid w:val="00046CD2"/>
    <w:rsid w:val="0005363E"/>
    <w:rsid w:val="00061966"/>
    <w:rsid w:val="00072817"/>
    <w:rsid w:val="00072EDD"/>
    <w:rsid w:val="00075343"/>
    <w:rsid w:val="00075DD5"/>
    <w:rsid w:val="00082C3E"/>
    <w:rsid w:val="0008308C"/>
    <w:rsid w:val="000834B7"/>
    <w:rsid w:val="000846DF"/>
    <w:rsid w:val="00094A1C"/>
    <w:rsid w:val="000A629B"/>
    <w:rsid w:val="000A6B35"/>
    <w:rsid w:val="000B5522"/>
    <w:rsid w:val="000C3585"/>
    <w:rsid w:val="000D052B"/>
    <w:rsid w:val="000D78A8"/>
    <w:rsid w:val="000E554D"/>
    <w:rsid w:val="000E72BA"/>
    <w:rsid w:val="000F25ED"/>
    <w:rsid w:val="00112D6C"/>
    <w:rsid w:val="00112D8E"/>
    <w:rsid w:val="00125F1A"/>
    <w:rsid w:val="0013665F"/>
    <w:rsid w:val="00153E7B"/>
    <w:rsid w:val="00166FDD"/>
    <w:rsid w:val="001959FA"/>
    <w:rsid w:val="001A459B"/>
    <w:rsid w:val="001A4EDD"/>
    <w:rsid w:val="001B7BF8"/>
    <w:rsid w:val="001C5BEF"/>
    <w:rsid w:val="001D65B6"/>
    <w:rsid w:val="001D7200"/>
    <w:rsid w:val="001E0ABA"/>
    <w:rsid w:val="0021770F"/>
    <w:rsid w:val="002218E9"/>
    <w:rsid w:val="00226561"/>
    <w:rsid w:val="002305C7"/>
    <w:rsid w:val="00236009"/>
    <w:rsid w:val="00241CB9"/>
    <w:rsid w:val="00246A5A"/>
    <w:rsid w:val="0026590E"/>
    <w:rsid w:val="00265CEF"/>
    <w:rsid w:val="002762CB"/>
    <w:rsid w:val="002803C5"/>
    <w:rsid w:val="002854FD"/>
    <w:rsid w:val="00285E25"/>
    <w:rsid w:val="002966CA"/>
    <w:rsid w:val="002976D2"/>
    <w:rsid w:val="002A5CFA"/>
    <w:rsid w:val="002C0391"/>
    <w:rsid w:val="002C7977"/>
    <w:rsid w:val="002D58B2"/>
    <w:rsid w:val="002F01D8"/>
    <w:rsid w:val="002F2ED6"/>
    <w:rsid w:val="002F3AA7"/>
    <w:rsid w:val="003000D7"/>
    <w:rsid w:val="0032456C"/>
    <w:rsid w:val="00326A8A"/>
    <w:rsid w:val="00340603"/>
    <w:rsid w:val="00340740"/>
    <w:rsid w:val="0034269A"/>
    <w:rsid w:val="00343626"/>
    <w:rsid w:val="0034482A"/>
    <w:rsid w:val="00346793"/>
    <w:rsid w:val="00354F24"/>
    <w:rsid w:val="003573A9"/>
    <w:rsid w:val="00365C1E"/>
    <w:rsid w:val="003668E4"/>
    <w:rsid w:val="003740A4"/>
    <w:rsid w:val="003809CD"/>
    <w:rsid w:val="003955B0"/>
    <w:rsid w:val="003A227C"/>
    <w:rsid w:val="003A6722"/>
    <w:rsid w:val="003B158E"/>
    <w:rsid w:val="003C1B91"/>
    <w:rsid w:val="003C5C4C"/>
    <w:rsid w:val="003D0086"/>
    <w:rsid w:val="003D1533"/>
    <w:rsid w:val="003E783B"/>
    <w:rsid w:val="003F03A5"/>
    <w:rsid w:val="003F2C11"/>
    <w:rsid w:val="003F784F"/>
    <w:rsid w:val="00402345"/>
    <w:rsid w:val="00412A21"/>
    <w:rsid w:val="00412D00"/>
    <w:rsid w:val="0041435D"/>
    <w:rsid w:val="00414AD7"/>
    <w:rsid w:val="00417A1E"/>
    <w:rsid w:val="004271FA"/>
    <w:rsid w:val="00443707"/>
    <w:rsid w:val="004542E0"/>
    <w:rsid w:val="004563C3"/>
    <w:rsid w:val="004564C0"/>
    <w:rsid w:val="00456DE6"/>
    <w:rsid w:val="0046101F"/>
    <w:rsid w:val="00465D21"/>
    <w:rsid w:val="0047305E"/>
    <w:rsid w:val="004806D7"/>
    <w:rsid w:val="00482F1B"/>
    <w:rsid w:val="00491321"/>
    <w:rsid w:val="004963ED"/>
    <w:rsid w:val="00496466"/>
    <w:rsid w:val="004A035F"/>
    <w:rsid w:val="004A2048"/>
    <w:rsid w:val="004A5939"/>
    <w:rsid w:val="004B7A65"/>
    <w:rsid w:val="004C7F09"/>
    <w:rsid w:val="0050129A"/>
    <w:rsid w:val="00507BFD"/>
    <w:rsid w:val="00520D22"/>
    <w:rsid w:val="00524798"/>
    <w:rsid w:val="00525F63"/>
    <w:rsid w:val="0052701C"/>
    <w:rsid w:val="00534340"/>
    <w:rsid w:val="005451B3"/>
    <w:rsid w:val="005457D4"/>
    <w:rsid w:val="00547075"/>
    <w:rsid w:val="00550422"/>
    <w:rsid w:val="00552831"/>
    <w:rsid w:val="0055634D"/>
    <w:rsid w:val="00563529"/>
    <w:rsid w:val="005666B0"/>
    <w:rsid w:val="00567812"/>
    <w:rsid w:val="00572C38"/>
    <w:rsid w:val="00572F72"/>
    <w:rsid w:val="00573308"/>
    <w:rsid w:val="00580094"/>
    <w:rsid w:val="00584469"/>
    <w:rsid w:val="00585ADF"/>
    <w:rsid w:val="00585B01"/>
    <w:rsid w:val="00586E2B"/>
    <w:rsid w:val="0059382B"/>
    <w:rsid w:val="005A7563"/>
    <w:rsid w:val="005A7939"/>
    <w:rsid w:val="005B4C6D"/>
    <w:rsid w:val="005B7E66"/>
    <w:rsid w:val="005C140B"/>
    <w:rsid w:val="005C2ADD"/>
    <w:rsid w:val="005D1CDB"/>
    <w:rsid w:val="005E2409"/>
    <w:rsid w:val="005E65C1"/>
    <w:rsid w:val="005F26B2"/>
    <w:rsid w:val="005F3CBD"/>
    <w:rsid w:val="005F5337"/>
    <w:rsid w:val="006057C9"/>
    <w:rsid w:val="00617B4F"/>
    <w:rsid w:val="00617F3F"/>
    <w:rsid w:val="0062423A"/>
    <w:rsid w:val="00625054"/>
    <w:rsid w:val="006276EA"/>
    <w:rsid w:val="006371AC"/>
    <w:rsid w:val="006410F7"/>
    <w:rsid w:val="00644874"/>
    <w:rsid w:val="0065214A"/>
    <w:rsid w:val="00662E1F"/>
    <w:rsid w:val="00663A92"/>
    <w:rsid w:val="006759B8"/>
    <w:rsid w:val="00677EB2"/>
    <w:rsid w:val="00682EE7"/>
    <w:rsid w:val="00695AFF"/>
    <w:rsid w:val="006B4775"/>
    <w:rsid w:val="006D0E57"/>
    <w:rsid w:val="006E24AF"/>
    <w:rsid w:val="006E477C"/>
    <w:rsid w:val="006F3048"/>
    <w:rsid w:val="006F57D5"/>
    <w:rsid w:val="00701FAD"/>
    <w:rsid w:val="00705CDF"/>
    <w:rsid w:val="00711F8D"/>
    <w:rsid w:val="00720109"/>
    <w:rsid w:val="00724C48"/>
    <w:rsid w:val="00730BF4"/>
    <w:rsid w:val="007322C8"/>
    <w:rsid w:val="00732C06"/>
    <w:rsid w:val="007563E7"/>
    <w:rsid w:val="007648C4"/>
    <w:rsid w:val="0077109A"/>
    <w:rsid w:val="00780AE6"/>
    <w:rsid w:val="00782389"/>
    <w:rsid w:val="00785EF4"/>
    <w:rsid w:val="007863EB"/>
    <w:rsid w:val="00786F41"/>
    <w:rsid w:val="007903C5"/>
    <w:rsid w:val="007916D5"/>
    <w:rsid w:val="007919F0"/>
    <w:rsid w:val="00796FE1"/>
    <w:rsid w:val="007A0642"/>
    <w:rsid w:val="007A178A"/>
    <w:rsid w:val="007A5A51"/>
    <w:rsid w:val="007B1752"/>
    <w:rsid w:val="007B2CC7"/>
    <w:rsid w:val="007B39B5"/>
    <w:rsid w:val="007D468F"/>
    <w:rsid w:val="007D728F"/>
    <w:rsid w:val="00814965"/>
    <w:rsid w:val="0083054E"/>
    <w:rsid w:val="00830CF9"/>
    <w:rsid w:val="008315B4"/>
    <w:rsid w:val="00837B41"/>
    <w:rsid w:val="008537EB"/>
    <w:rsid w:val="00855500"/>
    <w:rsid w:val="0085747C"/>
    <w:rsid w:val="00864CC4"/>
    <w:rsid w:val="00876620"/>
    <w:rsid w:val="00880F7D"/>
    <w:rsid w:val="00881D8D"/>
    <w:rsid w:val="00885A5B"/>
    <w:rsid w:val="00895D6C"/>
    <w:rsid w:val="00896DE0"/>
    <w:rsid w:val="008A3C34"/>
    <w:rsid w:val="008A3E1E"/>
    <w:rsid w:val="008A6993"/>
    <w:rsid w:val="008B46F6"/>
    <w:rsid w:val="008C117C"/>
    <w:rsid w:val="008D217D"/>
    <w:rsid w:val="008D21C7"/>
    <w:rsid w:val="008F2B30"/>
    <w:rsid w:val="008F3086"/>
    <w:rsid w:val="008F405B"/>
    <w:rsid w:val="008F5950"/>
    <w:rsid w:val="009075CB"/>
    <w:rsid w:val="0091041E"/>
    <w:rsid w:val="0091298F"/>
    <w:rsid w:val="00930921"/>
    <w:rsid w:val="00931340"/>
    <w:rsid w:val="00950925"/>
    <w:rsid w:val="00964A38"/>
    <w:rsid w:val="009676D6"/>
    <w:rsid w:val="0097729E"/>
    <w:rsid w:val="0098709C"/>
    <w:rsid w:val="0099280C"/>
    <w:rsid w:val="009A014E"/>
    <w:rsid w:val="009A75AD"/>
    <w:rsid w:val="009B3F5A"/>
    <w:rsid w:val="009C1624"/>
    <w:rsid w:val="009D290B"/>
    <w:rsid w:val="009D3E5C"/>
    <w:rsid w:val="009D691F"/>
    <w:rsid w:val="009E0D6C"/>
    <w:rsid w:val="009E10D4"/>
    <w:rsid w:val="009E42E5"/>
    <w:rsid w:val="009F6ED3"/>
    <w:rsid w:val="00A0056A"/>
    <w:rsid w:val="00A12156"/>
    <w:rsid w:val="00A12EEF"/>
    <w:rsid w:val="00A13E00"/>
    <w:rsid w:val="00A20F24"/>
    <w:rsid w:val="00A22FAA"/>
    <w:rsid w:val="00A2496C"/>
    <w:rsid w:val="00A367AA"/>
    <w:rsid w:val="00A41BF4"/>
    <w:rsid w:val="00A44031"/>
    <w:rsid w:val="00A44076"/>
    <w:rsid w:val="00A46466"/>
    <w:rsid w:val="00A50886"/>
    <w:rsid w:val="00A53C50"/>
    <w:rsid w:val="00A62A0B"/>
    <w:rsid w:val="00A62B28"/>
    <w:rsid w:val="00A70D7E"/>
    <w:rsid w:val="00A71952"/>
    <w:rsid w:val="00A74B95"/>
    <w:rsid w:val="00A758D5"/>
    <w:rsid w:val="00A760F5"/>
    <w:rsid w:val="00A86158"/>
    <w:rsid w:val="00A9137A"/>
    <w:rsid w:val="00A91BD9"/>
    <w:rsid w:val="00A92F61"/>
    <w:rsid w:val="00A97755"/>
    <w:rsid w:val="00AA0B1E"/>
    <w:rsid w:val="00AA349B"/>
    <w:rsid w:val="00AA77F3"/>
    <w:rsid w:val="00AC17CE"/>
    <w:rsid w:val="00AE5173"/>
    <w:rsid w:val="00AE58CA"/>
    <w:rsid w:val="00AE74F0"/>
    <w:rsid w:val="00B01966"/>
    <w:rsid w:val="00B034DD"/>
    <w:rsid w:val="00B056B8"/>
    <w:rsid w:val="00B05D63"/>
    <w:rsid w:val="00B24B21"/>
    <w:rsid w:val="00B26467"/>
    <w:rsid w:val="00B303E6"/>
    <w:rsid w:val="00B37E97"/>
    <w:rsid w:val="00B61D71"/>
    <w:rsid w:val="00B7739C"/>
    <w:rsid w:val="00B84DD7"/>
    <w:rsid w:val="00B85FED"/>
    <w:rsid w:val="00B92443"/>
    <w:rsid w:val="00B9272D"/>
    <w:rsid w:val="00B95507"/>
    <w:rsid w:val="00B958F0"/>
    <w:rsid w:val="00BB31A5"/>
    <w:rsid w:val="00BB3332"/>
    <w:rsid w:val="00BB4B39"/>
    <w:rsid w:val="00BC382C"/>
    <w:rsid w:val="00BD56E9"/>
    <w:rsid w:val="00BE1EA2"/>
    <w:rsid w:val="00BE362A"/>
    <w:rsid w:val="00BF74F5"/>
    <w:rsid w:val="00C0046B"/>
    <w:rsid w:val="00C0660D"/>
    <w:rsid w:val="00C15E6B"/>
    <w:rsid w:val="00C20327"/>
    <w:rsid w:val="00C20C78"/>
    <w:rsid w:val="00C24596"/>
    <w:rsid w:val="00C2772D"/>
    <w:rsid w:val="00C27E72"/>
    <w:rsid w:val="00C42730"/>
    <w:rsid w:val="00C43708"/>
    <w:rsid w:val="00C477DF"/>
    <w:rsid w:val="00C53E94"/>
    <w:rsid w:val="00C5642C"/>
    <w:rsid w:val="00C6358C"/>
    <w:rsid w:val="00C67329"/>
    <w:rsid w:val="00C74378"/>
    <w:rsid w:val="00C76BD6"/>
    <w:rsid w:val="00C80209"/>
    <w:rsid w:val="00C81A7D"/>
    <w:rsid w:val="00C83ED3"/>
    <w:rsid w:val="00C8626C"/>
    <w:rsid w:val="00C920AD"/>
    <w:rsid w:val="00CA46F2"/>
    <w:rsid w:val="00CB097B"/>
    <w:rsid w:val="00CB11DE"/>
    <w:rsid w:val="00CB2293"/>
    <w:rsid w:val="00CC14EC"/>
    <w:rsid w:val="00CC57F6"/>
    <w:rsid w:val="00CD5B54"/>
    <w:rsid w:val="00CD636C"/>
    <w:rsid w:val="00CD65A2"/>
    <w:rsid w:val="00CF20FB"/>
    <w:rsid w:val="00D01897"/>
    <w:rsid w:val="00D03549"/>
    <w:rsid w:val="00D05340"/>
    <w:rsid w:val="00D12490"/>
    <w:rsid w:val="00D135CB"/>
    <w:rsid w:val="00D24948"/>
    <w:rsid w:val="00D27826"/>
    <w:rsid w:val="00D30408"/>
    <w:rsid w:val="00D328C0"/>
    <w:rsid w:val="00D36125"/>
    <w:rsid w:val="00D404E5"/>
    <w:rsid w:val="00D43366"/>
    <w:rsid w:val="00D4730E"/>
    <w:rsid w:val="00D53CAE"/>
    <w:rsid w:val="00D55588"/>
    <w:rsid w:val="00D5568D"/>
    <w:rsid w:val="00D556BF"/>
    <w:rsid w:val="00D5615B"/>
    <w:rsid w:val="00D625D8"/>
    <w:rsid w:val="00D6337C"/>
    <w:rsid w:val="00D669A0"/>
    <w:rsid w:val="00D71C56"/>
    <w:rsid w:val="00D732DC"/>
    <w:rsid w:val="00D73771"/>
    <w:rsid w:val="00D76BCD"/>
    <w:rsid w:val="00D809D6"/>
    <w:rsid w:val="00D81E9D"/>
    <w:rsid w:val="00D82E53"/>
    <w:rsid w:val="00D8724C"/>
    <w:rsid w:val="00D93BF0"/>
    <w:rsid w:val="00D96A03"/>
    <w:rsid w:val="00DA1164"/>
    <w:rsid w:val="00DB06D1"/>
    <w:rsid w:val="00DB3618"/>
    <w:rsid w:val="00DB74E4"/>
    <w:rsid w:val="00DD02BC"/>
    <w:rsid w:val="00DD5D4A"/>
    <w:rsid w:val="00DE0445"/>
    <w:rsid w:val="00DE153D"/>
    <w:rsid w:val="00E005A6"/>
    <w:rsid w:val="00E0495B"/>
    <w:rsid w:val="00E04977"/>
    <w:rsid w:val="00E21CCC"/>
    <w:rsid w:val="00E30C0F"/>
    <w:rsid w:val="00E41F42"/>
    <w:rsid w:val="00E5739E"/>
    <w:rsid w:val="00E717CB"/>
    <w:rsid w:val="00E7230D"/>
    <w:rsid w:val="00E74380"/>
    <w:rsid w:val="00E86E01"/>
    <w:rsid w:val="00E94DC3"/>
    <w:rsid w:val="00E97166"/>
    <w:rsid w:val="00EB0C62"/>
    <w:rsid w:val="00EB0C6B"/>
    <w:rsid w:val="00EC6BAF"/>
    <w:rsid w:val="00ED1A73"/>
    <w:rsid w:val="00EE0428"/>
    <w:rsid w:val="00EF1126"/>
    <w:rsid w:val="00EF1E2B"/>
    <w:rsid w:val="00F04474"/>
    <w:rsid w:val="00F06ACA"/>
    <w:rsid w:val="00F10FE6"/>
    <w:rsid w:val="00F328F0"/>
    <w:rsid w:val="00F34691"/>
    <w:rsid w:val="00F425ED"/>
    <w:rsid w:val="00F45323"/>
    <w:rsid w:val="00F46A61"/>
    <w:rsid w:val="00F50D6E"/>
    <w:rsid w:val="00F54B06"/>
    <w:rsid w:val="00F60279"/>
    <w:rsid w:val="00F61319"/>
    <w:rsid w:val="00F66B73"/>
    <w:rsid w:val="00F6720D"/>
    <w:rsid w:val="00F7373F"/>
    <w:rsid w:val="00F7643F"/>
    <w:rsid w:val="00F85F39"/>
    <w:rsid w:val="00F94358"/>
    <w:rsid w:val="00F94A7F"/>
    <w:rsid w:val="00FA2A0D"/>
    <w:rsid w:val="00FA5095"/>
    <w:rsid w:val="00FB2906"/>
    <w:rsid w:val="00FB3397"/>
    <w:rsid w:val="00FB3BFB"/>
    <w:rsid w:val="00FB4487"/>
    <w:rsid w:val="00FC67B6"/>
    <w:rsid w:val="00FD3AD2"/>
    <w:rsid w:val="00FE09A1"/>
    <w:rsid w:val="00FE2B64"/>
    <w:rsid w:val="00FE3C7C"/>
    <w:rsid w:val="00FF16FB"/>
    <w:rsid w:val="00FF53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FDD74"/>
  <w15:chartTrackingRefBased/>
  <w15:docId w15:val="{6B3270CA-4670-4F28-A86D-8AA7AD5D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3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43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143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3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3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3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3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3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3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3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3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143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3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3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3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3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3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35D"/>
    <w:rPr>
      <w:rFonts w:eastAsiaTheme="majorEastAsia" w:cstheme="majorBidi"/>
      <w:color w:val="272727" w:themeColor="text1" w:themeTint="D8"/>
    </w:rPr>
  </w:style>
  <w:style w:type="paragraph" w:styleId="Title">
    <w:name w:val="Title"/>
    <w:basedOn w:val="Normal"/>
    <w:next w:val="Normal"/>
    <w:link w:val="TitleChar"/>
    <w:uiPriority w:val="10"/>
    <w:qFormat/>
    <w:rsid w:val="004143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3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3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3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35D"/>
    <w:pPr>
      <w:spacing w:before="160"/>
      <w:jc w:val="center"/>
    </w:pPr>
    <w:rPr>
      <w:i/>
      <w:iCs/>
      <w:color w:val="404040" w:themeColor="text1" w:themeTint="BF"/>
    </w:rPr>
  </w:style>
  <w:style w:type="character" w:customStyle="1" w:styleId="QuoteChar">
    <w:name w:val="Quote Char"/>
    <w:basedOn w:val="DefaultParagraphFont"/>
    <w:link w:val="Quote"/>
    <w:uiPriority w:val="29"/>
    <w:rsid w:val="0041435D"/>
    <w:rPr>
      <w:i/>
      <w:iCs/>
      <w:color w:val="404040" w:themeColor="text1" w:themeTint="BF"/>
    </w:rPr>
  </w:style>
  <w:style w:type="paragraph" w:styleId="ListParagraph">
    <w:name w:val="List Paragraph"/>
    <w:basedOn w:val="Normal"/>
    <w:uiPriority w:val="34"/>
    <w:qFormat/>
    <w:rsid w:val="0041435D"/>
    <w:pPr>
      <w:ind w:left="720"/>
      <w:contextualSpacing/>
    </w:pPr>
  </w:style>
  <w:style w:type="character" w:styleId="IntenseEmphasis">
    <w:name w:val="Intense Emphasis"/>
    <w:basedOn w:val="DefaultParagraphFont"/>
    <w:uiPriority w:val="21"/>
    <w:qFormat/>
    <w:rsid w:val="0041435D"/>
    <w:rPr>
      <w:i/>
      <w:iCs/>
      <w:color w:val="0F4761" w:themeColor="accent1" w:themeShade="BF"/>
    </w:rPr>
  </w:style>
  <w:style w:type="paragraph" w:styleId="IntenseQuote">
    <w:name w:val="Intense Quote"/>
    <w:basedOn w:val="Normal"/>
    <w:next w:val="Normal"/>
    <w:link w:val="IntenseQuoteChar"/>
    <w:uiPriority w:val="30"/>
    <w:qFormat/>
    <w:rsid w:val="004143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35D"/>
    <w:rPr>
      <w:i/>
      <w:iCs/>
      <w:color w:val="0F4761" w:themeColor="accent1" w:themeShade="BF"/>
    </w:rPr>
  </w:style>
  <w:style w:type="character" w:styleId="IntenseReference">
    <w:name w:val="Intense Reference"/>
    <w:basedOn w:val="DefaultParagraphFont"/>
    <w:uiPriority w:val="32"/>
    <w:qFormat/>
    <w:rsid w:val="0041435D"/>
    <w:rPr>
      <w:b/>
      <w:bCs/>
      <w:smallCaps/>
      <w:color w:val="0F4761" w:themeColor="accent1" w:themeShade="BF"/>
      <w:spacing w:val="5"/>
    </w:rPr>
  </w:style>
  <w:style w:type="paragraph" w:styleId="NormalWeb">
    <w:name w:val="Normal (Web)"/>
    <w:basedOn w:val="Normal"/>
    <w:uiPriority w:val="99"/>
    <w:semiHidden/>
    <w:unhideWhenUsed/>
    <w:rsid w:val="0041435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Strong">
    <w:name w:val="Strong"/>
    <w:basedOn w:val="DefaultParagraphFont"/>
    <w:uiPriority w:val="22"/>
    <w:qFormat/>
    <w:rsid w:val="0041435D"/>
    <w:rPr>
      <w:b/>
      <w:bCs/>
    </w:rPr>
  </w:style>
  <w:style w:type="character" w:styleId="Hyperlink">
    <w:name w:val="Hyperlink"/>
    <w:basedOn w:val="DefaultParagraphFont"/>
    <w:uiPriority w:val="99"/>
    <w:unhideWhenUsed/>
    <w:rsid w:val="00F46A61"/>
    <w:rPr>
      <w:color w:val="467886" w:themeColor="hyperlink"/>
      <w:u w:val="single"/>
    </w:rPr>
  </w:style>
  <w:style w:type="character" w:styleId="UnresolvedMention">
    <w:name w:val="Unresolved Mention"/>
    <w:basedOn w:val="DefaultParagraphFont"/>
    <w:uiPriority w:val="99"/>
    <w:semiHidden/>
    <w:unhideWhenUsed/>
    <w:rsid w:val="00F46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661">
      <w:bodyDiv w:val="1"/>
      <w:marLeft w:val="0"/>
      <w:marRight w:val="0"/>
      <w:marTop w:val="0"/>
      <w:marBottom w:val="0"/>
      <w:divBdr>
        <w:top w:val="none" w:sz="0" w:space="0" w:color="auto"/>
        <w:left w:val="none" w:sz="0" w:space="0" w:color="auto"/>
        <w:bottom w:val="none" w:sz="0" w:space="0" w:color="auto"/>
        <w:right w:val="none" w:sz="0" w:space="0" w:color="auto"/>
      </w:divBdr>
    </w:div>
    <w:div w:id="293754304">
      <w:bodyDiv w:val="1"/>
      <w:marLeft w:val="0"/>
      <w:marRight w:val="0"/>
      <w:marTop w:val="0"/>
      <w:marBottom w:val="0"/>
      <w:divBdr>
        <w:top w:val="none" w:sz="0" w:space="0" w:color="auto"/>
        <w:left w:val="none" w:sz="0" w:space="0" w:color="auto"/>
        <w:bottom w:val="none" w:sz="0" w:space="0" w:color="auto"/>
        <w:right w:val="none" w:sz="0" w:space="0" w:color="auto"/>
      </w:divBdr>
    </w:div>
    <w:div w:id="559292587">
      <w:bodyDiv w:val="1"/>
      <w:marLeft w:val="0"/>
      <w:marRight w:val="0"/>
      <w:marTop w:val="0"/>
      <w:marBottom w:val="0"/>
      <w:divBdr>
        <w:top w:val="none" w:sz="0" w:space="0" w:color="auto"/>
        <w:left w:val="none" w:sz="0" w:space="0" w:color="auto"/>
        <w:bottom w:val="none" w:sz="0" w:space="0" w:color="auto"/>
        <w:right w:val="none" w:sz="0" w:space="0" w:color="auto"/>
      </w:divBdr>
    </w:div>
    <w:div w:id="583033314">
      <w:bodyDiv w:val="1"/>
      <w:marLeft w:val="0"/>
      <w:marRight w:val="0"/>
      <w:marTop w:val="0"/>
      <w:marBottom w:val="0"/>
      <w:divBdr>
        <w:top w:val="none" w:sz="0" w:space="0" w:color="auto"/>
        <w:left w:val="none" w:sz="0" w:space="0" w:color="auto"/>
        <w:bottom w:val="none" w:sz="0" w:space="0" w:color="auto"/>
        <w:right w:val="none" w:sz="0" w:space="0" w:color="auto"/>
      </w:divBdr>
    </w:div>
    <w:div w:id="600768743">
      <w:bodyDiv w:val="1"/>
      <w:marLeft w:val="0"/>
      <w:marRight w:val="0"/>
      <w:marTop w:val="0"/>
      <w:marBottom w:val="0"/>
      <w:divBdr>
        <w:top w:val="none" w:sz="0" w:space="0" w:color="auto"/>
        <w:left w:val="none" w:sz="0" w:space="0" w:color="auto"/>
        <w:bottom w:val="none" w:sz="0" w:space="0" w:color="auto"/>
        <w:right w:val="none" w:sz="0" w:space="0" w:color="auto"/>
      </w:divBdr>
    </w:div>
    <w:div w:id="910391217">
      <w:bodyDiv w:val="1"/>
      <w:marLeft w:val="0"/>
      <w:marRight w:val="0"/>
      <w:marTop w:val="0"/>
      <w:marBottom w:val="0"/>
      <w:divBdr>
        <w:top w:val="none" w:sz="0" w:space="0" w:color="auto"/>
        <w:left w:val="none" w:sz="0" w:space="0" w:color="auto"/>
        <w:bottom w:val="none" w:sz="0" w:space="0" w:color="auto"/>
        <w:right w:val="none" w:sz="0" w:space="0" w:color="auto"/>
      </w:divBdr>
    </w:div>
    <w:div w:id="930049318">
      <w:bodyDiv w:val="1"/>
      <w:marLeft w:val="0"/>
      <w:marRight w:val="0"/>
      <w:marTop w:val="0"/>
      <w:marBottom w:val="0"/>
      <w:divBdr>
        <w:top w:val="none" w:sz="0" w:space="0" w:color="auto"/>
        <w:left w:val="none" w:sz="0" w:space="0" w:color="auto"/>
        <w:bottom w:val="none" w:sz="0" w:space="0" w:color="auto"/>
        <w:right w:val="none" w:sz="0" w:space="0" w:color="auto"/>
      </w:divBdr>
    </w:div>
    <w:div w:id="985478486">
      <w:bodyDiv w:val="1"/>
      <w:marLeft w:val="0"/>
      <w:marRight w:val="0"/>
      <w:marTop w:val="0"/>
      <w:marBottom w:val="0"/>
      <w:divBdr>
        <w:top w:val="none" w:sz="0" w:space="0" w:color="auto"/>
        <w:left w:val="none" w:sz="0" w:space="0" w:color="auto"/>
        <w:bottom w:val="none" w:sz="0" w:space="0" w:color="auto"/>
        <w:right w:val="none" w:sz="0" w:space="0" w:color="auto"/>
      </w:divBdr>
    </w:div>
    <w:div w:id="1239749616">
      <w:bodyDiv w:val="1"/>
      <w:marLeft w:val="0"/>
      <w:marRight w:val="0"/>
      <w:marTop w:val="0"/>
      <w:marBottom w:val="0"/>
      <w:divBdr>
        <w:top w:val="none" w:sz="0" w:space="0" w:color="auto"/>
        <w:left w:val="none" w:sz="0" w:space="0" w:color="auto"/>
        <w:bottom w:val="none" w:sz="0" w:space="0" w:color="auto"/>
        <w:right w:val="none" w:sz="0" w:space="0" w:color="auto"/>
      </w:divBdr>
    </w:div>
    <w:div w:id="1289554725">
      <w:bodyDiv w:val="1"/>
      <w:marLeft w:val="0"/>
      <w:marRight w:val="0"/>
      <w:marTop w:val="0"/>
      <w:marBottom w:val="0"/>
      <w:divBdr>
        <w:top w:val="none" w:sz="0" w:space="0" w:color="auto"/>
        <w:left w:val="none" w:sz="0" w:space="0" w:color="auto"/>
        <w:bottom w:val="none" w:sz="0" w:space="0" w:color="auto"/>
        <w:right w:val="none" w:sz="0" w:space="0" w:color="auto"/>
      </w:divBdr>
    </w:div>
    <w:div w:id="1297177757">
      <w:bodyDiv w:val="1"/>
      <w:marLeft w:val="0"/>
      <w:marRight w:val="0"/>
      <w:marTop w:val="0"/>
      <w:marBottom w:val="0"/>
      <w:divBdr>
        <w:top w:val="none" w:sz="0" w:space="0" w:color="auto"/>
        <w:left w:val="none" w:sz="0" w:space="0" w:color="auto"/>
        <w:bottom w:val="none" w:sz="0" w:space="0" w:color="auto"/>
        <w:right w:val="none" w:sz="0" w:space="0" w:color="auto"/>
      </w:divBdr>
    </w:div>
    <w:div w:id="1430272602">
      <w:bodyDiv w:val="1"/>
      <w:marLeft w:val="0"/>
      <w:marRight w:val="0"/>
      <w:marTop w:val="0"/>
      <w:marBottom w:val="0"/>
      <w:divBdr>
        <w:top w:val="none" w:sz="0" w:space="0" w:color="auto"/>
        <w:left w:val="none" w:sz="0" w:space="0" w:color="auto"/>
        <w:bottom w:val="none" w:sz="0" w:space="0" w:color="auto"/>
        <w:right w:val="none" w:sz="0" w:space="0" w:color="auto"/>
      </w:divBdr>
    </w:div>
    <w:div w:id="1448741422">
      <w:bodyDiv w:val="1"/>
      <w:marLeft w:val="0"/>
      <w:marRight w:val="0"/>
      <w:marTop w:val="0"/>
      <w:marBottom w:val="0"/>
      <w:divBdr>
        <w:top w:val="none" w:sz="0" w:space="0" w:color="auto"/>
        <w:left w:val="none" w:sz="0" w:space="0" w:color="auto"/>
        <w:bottom w:val="none" w:sz="0" w:space="0" w:color="auto"/>
        <w:right w:val="none" w:sz="0" w:space="0" w:color="auto"/>
      </w:divBdr>
    </w:div>
    <w:div w:id="1452894863">
      <w:bodyDiv w:val="1"/>
      <w:marLeft w:val="0"/>
      <w:marRight w:val="0"/>
      <w:marTop w:val="0"/>
      <w:marBottom w:val="0"/>
      <w:divBdr>
        <w:top w:val="none" w:sz="0" w:space="0" w:color="auto"/>
        <w:left w:val="none" w:sz="0" w:space="0" w:color="auto"/>
        <w:bottom w:val="none" w:sz="0" w:space="0" w:color="auto"/>
        <w:right w:val="none" w:sz="0" w:space="0" w:color="auto"/>
      </w:divBdr>
    </w:div>
    <w:div w:id="1665551391">
      <w:bodyDiv w:val="1"/>
      <w:marLeft w:val="0"/>
      <w:marRight w:val="0"/>
      <w:marTop w:val="0"/>
      <w:marBottom w:val="0"/>
      <w:divBdr>
        <w:top w:val="none" w:sz="0" w:space="0" w:color="auto"/>
        <w:left w:val="none" w:sz="0" w:space="0" w:color="auto"/>
        <w:bottom w:val="none" w:sz="0" w:space="0" w:color="auto"/>
        <w:right w:val="none" w:sz="0" w:space="0" w:color="auto"/>
      </w:divBdr>
    </w:div>
    <w:div w:id="1693263401">
      <w:bodyDiv w:val="1"/>
      <w:marLeft w:val="0"/>
      <w:marRight w:val="0"/>
      <w:marTop w:val="0"/>
      <w:marBottom w:val="0"/>
      <w:divBdr>
        <w:top w:val="none" w:sz="0" w:space="0" w:color="auto"/>
        <w:left w:val="none" w:sz="0" w:space="0" w:color="auto"/>
        <w:bottom w:val="none" w:sz="0" w:space="0" w:color="auto"/>
        <w:right w:val="none" w:sz="0" w:space="0" w:color="auto"/>
      </w:divBdr>
      <w:divsChild>
        <w:div w:id="975642518">
          <w:marLeft w:val="0"/>
          <w:marRight w:val="0"/>
          <w:marTop w:val="0"/>
          <w:marBottom w:val="0"/>
          <w:divBdr>
            <w:top w:val="none" w:sz="0" w:space="0" w:color="auto"/>
            <w:left w:val="none" w:sz="0" w:space="0" w:color="auto"/>
            <w:bottom w:val="none" w:sz="0" w:space="0" w:color="auto"/>
            <w:right w:val="none" w:sz="0" w:space="0" w:color="auto"/>
          </w:divBdr>
          <w:divsChild>
            <w:div w:id="1976138448">
              <w:marLeft w:val="0"/>
              <w:marRight w:val="0"/>
              <w:marTop w:val="0"/>
              <w:marBottom w:val="0"/>
              <w:divBdr>
                <w:top w:val="none" w:sz="0" w:space="0" w:color="auto"/>
                <w:left w:val="none" w:sz="0" w:space="0" w:color="auto"/>
                <w:bottom w:val="none" w:sz="0" w:space="0" w:color="auto"/>
                <w:right w:val="none" w:sz="0" w:space="0" w:color="auto"/>
              </w:divBdr>
              <w:divsChild>
                <w:div w:id="2115395046">
                  <w:marLeft w:val="0"/>
                  <w:marRight w:val="0"/>
                  <w:marTop w:val="0"/>
                  <w:marBottom w:val="0"/>
                  <w:divBdr>
                    <w:top w:val="none" w:sz="0" w:space="0" w:color="auto"/>
                    <w:left w:val="none" w:sz="0" w:space="0" w:color="auto"/>
                    <w:bottom w:val="none" w:sz="0" w:space="0" w:color="auto"/>
                    <w:right w:val="none" w:sz="0" w:space="0" w:color="auto"/>
                  </w:divBdr>
                  <w:divsChild>
                    <w:div w:id="974023637">
                      <w:marLeft w:val="0"/>
                      <w:marRight w:val="0"/>
                      <w:marTop w:val="0"/>
                      <w:marBottom w:val="0"/>
                      <w:divBdr>
                        <w:top w:val="none" w:sz="0" w:space="0" w:color="auto"/>
                        <w:left w:val="none" w:sz="0" w:space="0" w:color="auto"/>
                        <w:bottom w:val="none" w:sz="0" w:space="0" w:color="auto"/>
                        <w:right w:val="none" w:sz="0" w:space="0" w:color="auto"/>
                      </w:divBdr>
                      <w:divsChild>
                        <w:div w:id="2118989012">
                          <w:marLeft w:val="0"/>
                          <w:marRight w:val="0"/>
                          <w:marTop w:val="0"/>
                          <w:marBottom w:val="0"/>
                          <w:divBdr>
                            <w:top w:val="none" w:sz="0" w:space="0" w:color="auto"/>
                            <w:left w:val="none" w:sz="0" w:space="0" w:color="auto"/>
                            <w:bottom w:val="none" w:sz="0" w:space="0" w:color="auto"/>
                            <w:right w:val="none" w:sz="0" w:space="0" w:color="auto"/>
                          </w:divBdr>
                          <w:divsChild>
                            <w:div w:id="1066608172">
                              <w:marLeft w:val="0"/>
                              <w:marRight w:val="0"/>
                              <w:marTop w:val="0"/>
                              <w:marBottom w:val="0"/>
                              <w:divBdr>
                                <w:top w:val="none" w:sz="0" w:space="0" w:color="auto"/>
                                <w:left w:val="none" w:sz="0" w:space="0" w:color="auto"/>
                                <w:bottom w:val="none" w:sz="0" w:space="0" w:color="auto"/>
                                <w:right w:val="none" w:sz="0" w:space="0" w:color="auto"/>
                              </w:divBdr>
                              <w:divsChild>
                                <w:div w:id="1901019219">
                                  <w:marLeft w:val="0"/>
                                  <w:marRight w:val="0"/>
                                  <w:marTop w:val="0"/>
                                  <w:marBottom w:val="0"/>
                                  <w:divBdr>
                                    <w:top w:val="none" w:sz="0" w:space="0" w:color="auto"/>
                                    <w:left w:val="none" w:sz="0" w:space="0" w:color="auto"/>
                                    <w:bottom w:val="none" w:sz="0" w:space="0" w:color="auto"/>
                                    <w:right w:val="none" w:sz="0" w:space="0" w:color="auto"/>
                                  </w:divBdr>
                                  <w:divsChild>
                                    <w:div w:id="313023517">
                                      <w:marLeft w:val="0"/>
                                      <w:marRight w:val="0"/>
                                      <w:marTop w:val="0"/>
                                      <w:marBottom w:val="0"/>
                                      <w:divBdr>
                                        <w:top w:val="none" w:sz="0" w:space="0" w:color="auto"/>
                                        <w:left w:val="none" w:sz="0" w:space="0" w:color="auto"/>
                                        <w:bottom w:val="none" w:sz="0" w:space="0" w:color="auto"/>
                                        <w:right w:val="none" w:sz="0" w:space="0" w:color="auto"/>
                                      </w:divBdr>
                                      <w:divsChild>
                                        <w:div w:id="1724257489">
                                          <w:marLeft w:val="0"/>
                                          <w:marRight w:val="0"/>
                                          <w:marTop w:val="0"/>
                                          <w:marBottom w:val="0"/>
                                          <w:divBdr>
                                            <w:top w:val="none" w:sz="0" w:space="0" w:color="auto"/>
                                            <w:left w:val="none" w:sz="0" w:space="0" w:color="auto"/>
                                            <w:bottom w:val="none" w:sz="0" w:space="0" w:color="auto"/>
                                            <w:right w:val="none" w:sz="0" w:space="0" w:color="auto"/>
                                          </w:divBdr>
                                          <w:divsChild>
                                            <w:div w:id="1483891778">
                                              <w:marLeft w:val="0"/>
                                              <w:marRight w:val="0"/>
                                              <w:marTop w:val="0"/>
                                              <w:marBottom w:val="0"/>
                                              <w:divBdr>
                                                <w:top w:val="none" w:sz="0" w:space="0" w:color="auto"/>
                                                <w:left w:val="none" w:sz="0" w:space="0" w:color="auto"/>
                                                <w:bottom w:val="none" w:sz="0" w:space="0" w:color="auto"/>
                                                <w:right w:val="none" w:sz="0" w:space="0" w:color="auto"/>
                                              </w:divBdr>
                                              <w:divsChild>
                                                <w:div w:id="102111351">
                                                  <w:marLeft w:val="0"/>
                                                  <w:marRight w:val="0"/>
                                                  <w:marTop w:val="0"/>
                                                  <w:marBottom w:val="0"/>
                                                  <w:divBdr>
                                                    <w:top w:val="none" w:sz="0" w:space="0" w:color="auto"/>
                                                    <w:left w:val="none" w:sz="0" w:space="0" w:color="auto"/>
                                                    <w:bottom w:val="none" w:sz="0" w:space="0" w:color="auto"/>
                                                    <w:right w:val="none" w:sz="0" w:space="0" w:color="auto"/>
                                                  </w:divBdr>
                                                </w:div>
                                                <w:div w:id="1413896360">
                                                  <w:marLeft w:val="0"/>
                                                  <w:marRight w:val="0"/>
                                                  <w:marTop w:val="0"/>
                                                  <w:marBottom w:val="0"/>
                                                  <w:divBdr>
                                                    <w:top w:val="none" w:sz="0" w:space="0" w:color="auto"/>
                                                    <w:left w:val="none" w:sz="0" w:space="0" w:color="auto"/>
                                                    <w:bottom w:val="none" w:sz="0" w:space="0" w:color="auto"/>
                                                    <w:right w:val="none" w:sz="0" w:space="0" w:color="auto"/>
                                                  </w:divBdr>
                                                  <w:divsChild>
                                                    <w:div w:id="1136606470">
                                                      <w:marLeft w:val="0"/>
                                                      <w:marRight w:val="0"/>
                                                      <w:marTop w:val="0"/>
                                                      <w:marBottom w:val="0"/>
                                                      <w:divBdr>
                                                        <w:top w:val="none" w:sz="0" w:space="0" w:color="auto"/>
                                                        <w:left w:val="none" w:sz="0" w:space="0" w:color="auto"/>
                                                        <w:bottom w:val="none" w:sz="0" w:space="0" w:color="auto"/>
                                                        <w:right w:val="none" w:sz="0" w:space="0" w:color="auto"/>
                                                      </w:divBdr>
                                                      <w:divsChild>
                                                        <w:div w:id="247158094">
                                                          <w:marLeft w:val="0"/>
                                                          <w:marRight w:val="0"/>
                                                          <w:marTop w:val="0"/>
                                                          <w:marBottom w:val="0"/>
                                                          <w:divBdr>
                                                            <w:top w:val="none" w:sz="0" w:space="0" w:color="auto"/>
                                                            <w:left w:val="none" w:sz="0" w:space="0" w:color="auto"/>
                                                            <w:bottom w:val="none" w:sz="0" w:space="0" w:color="auto"/>
                                                            <w:right w:val="none" w:sz="0" w:space="0" w:color="auto"/>
                                                          </w:divBdr>
                                                        </w:div>
                                                      </w:divsChild>
                                                    </w:div>
                                                    <w:div w:id="43491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6187834">
          <w:marLeft w:val="0"/>
          <w:marRight w:val="0"/>
          <w:marTop w:val="0"/>
          <w:marBottom w:val="0"/>
          <w:divBdr>
            <w:top w:val="none" w:sz="0" w:space="0" w:color="auto"/>
            <w:left w:val="none" w:sz="0" w:space="0" w:color="auto"/>
            <w:bottom w:val="none" w:sz="0" w:space="0" w:color="auto"/>
            <w:right w:val="none" w:sz="0" w:space="0" w:color="auto"/>
          </w:divBdr>
          <w:divsChild>
            <w:div w:id="1780417614">
              <w:marLeft w:val="0"/>
              <w:marRight w:val="0"/>
              <w:marTop w:val="0"/>
              <w:marBottom w:val="0"/>
              <w:divBdr>
                <w:top w:val="none" w:sz="0" w:space="0" w:color="auto"/>
                <w:left w:val="none" w:sz="0" w:space="0" w:color="auto"/>
                <w:bottom w:val="none" w:sz="0" w:space="0" w:color="auto"/>
                <w:right w:val="none" w:sz="0" w:space="0" w:color="auto"/>
              </w:divBdr>
              <w:divsChild>
                <w:div w:id="1794254083">
                  <w:marLeft w:val="0"/>
                  <w:marRight w:val="0"/>
                  <w:marTop w:val="0"/>
                  <w:marBottom w:val="0"/>
                  <w:divBdr>
                    <w:top w:val="none" w:sz="0" w:space="0" w:color="auto"/>
                    <w:left w:val="none" w:sz="0" w:space="0" w:color="auto"/>
                    <w:bottom w:val="none" w:sz="0" w:space="0" w:color="auto"/>
                    <w:right w:val="none" w:sz="0" w:space="0" w:color="auto"/>
                  </w:divBdr>
                  <w:divsChild>
                    <w:div w:id="14028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265015">
      <w:bodyDiv w:val="1"/>
      <w:marLeft w:val="0"/>
      <w:marRight w:val="0"/>
      <w:marTop w:val="0"/>
      <w:marBottom w:val="0"/>
      <w:divBdr>
        <w:top w:val="none" w:sz="0" w:space="0" w:color="auto"/>
        <w:left w:val="none" w:sz="0" w:space="0" w:color="auto"/>
        <w:bottom w:val="none" w:sz="0" w:space="0" w:color="auto"/>
        <w:right w:val="none" w:sz="0" w:space="0" w:color="auto"/>
      </w:divBdr>
    </w:div>
    <w:div w:id="1940142896">
      <w:bodyDiv w:val="1"/>
      <w:marLeft w:val="0"/>
      <w:marRight w:val="0"/>
      <w:marTop w:val="0"/>
      <w:marBottom w:val="0"/>
      <w:divBdr>
        <w:top w:val="none" w:sz="0" w:space="0" w:color="auto"/>
        <w:left w:val="none" w:sz="0" w:space="0" w:color="auto"/>
        <w:bottom w:val="none" w:sz="0" w:space="0" w:color="auto"/>
        <w:right w:val="none" w:sz="0" w:space="0" w:color="auto"/>
      </w:divBdr>
      <w:divsChild>
        <w:div w:id="356657546">
          <w:marLeft w:val="0"/>
          <w:marRight w:val="0"/>
          <w:marTop w:val="0"/>
          <w:marBottom w:val="0"/>
          <w:divBdr>
            <w:top w:val="none" w:sz="0" w:space="0" w:color="auto"/>
            <w:left w:val="none" w:sz="0" w:space="0" w:color="auto"/>
            <w:bottom w:val="none" w:sz="0" w:space="0" w:color="auto"/>
            <w:right w:val="none" w:sz="0" w:space="0" w:color="auto"/>
          </w:divBdr>
          <w:divsChild>
            <w:div w:id="2015910919">
              <w:marLeft w:val="0"/>
              <w:marRight w:val="0"/>
              <w:marTop w:val="0"/>
              <w:marBottom w:val="0"/>
              <w:divBdr>
                <w:top w:val="none" w:sz="0" w:space="0" w:color="auto"/>
                <w:left w:val="none" w:sz="0" w:space="0" w:color="auto"/>
                <w:bottom w:val="none" w:sz="0" w:space="0" w:color="auto"/>
                <w:right w:val="none" w:sz="0" w:space="0" w:color="auto"/>
              </w:divBdr>
              <w:divsChild>
                <w:div w:id="743335122">
                  <w:marLeft w:val="0"/>
                  <w:marRight w:val="0"/>
                  <w:marTop w:val="0"/>
                  <w:marBottom w:val="0"/>
                  <w:divBdr>
                    <w:top w:val="none" w:sz="0" w:space="0" w:color="auto"/>
                    <w:left w:val="none" w:sz="0" w:space="0" w:color="auto"/>
                    <w:bottom w:val="none" w:sz="0" w:space="0" w:color="auto"/>
                    <w:right w:val="none" w:sz="0" w:space="0" w:color="auto"/>
                  </w:divBdr>
                  <w:divsChild>
                    <w:div w:id="1494298959">
                      <w:marLeft w:val="0"/>
                      <w:marRight w:val="0"/>
                      <w:marTop w:val="0"/>
                      <w:marBottom w:val="0"/>
                      <w:divBdr>
                        <w:top w:val="none" w:sz="0" w:space="0" w:color="auto"/>
                        <w:left w:val="none" w:sz="0" w:space="0" w:color="auto"/>
                        <w:bottom w:val="none" w:sz="0" w:space="0" w:color="auto"/>
                        <w:right w:val="none" w:sz="0" w:space="0" w:color="auto"/>
                      </w:divBdr>
                      <w:divsChild>
                        <w:div w:id="135417887">
                          <w:marLeft w:val="0"/>
                          <w:marRight w:val="0"/>
                          <w:marTop w:val="0"/>
                          <w:marBottom w:val="0"/>
                          <w:divBdr>
                            <w:top w:val="none" w:sz="0" w:space="0" w:color="auto"/>
                            <w:left w:val="none" w:sz="0" w:space="0" w:color="auto"/>
                            <w:bottom w:val="none" w:sz="0" w:space="0" w:color="auto"/>
                            <w:right w:val="none" w:sz="0" w:space="0" w:color="auto"/>
                          </w:divBdr>
                          <w:divsChild>
                            <w:div w:id="1195921310">
                              <w:marLeft w:val="0"/>
                              <w:marRight w:val="0"/>
                              <w:marTop w:val="0"/>
                              <w:marBottom w:val="0"/>
                              <w:divBdr>
                                <w:top w:val="none" w:sz="0" w:space="0" w:color="auto"/>
                                <w:left w:val="none" w:sz="0" w:space="0" w:color="auto"/>
                                <w:bottom w:val="none" w:sz="0" w:space="0" w:color="auto"/>
                                <w:right w:val="none" w:sz="0" w:space="0" w:color="auto"/>
                              </w:divBdr>
                              <w:divsChild>
                                <w:div w:id="316225305">
                                  <w:marLeft w:val="0"/>
                                  <w:marRight w:val="0"/>
                                  <w:marTop w:val="0"/>
                                  <w:marBottom w:val="0"/>
                                  <w:divBdr>
                                    <w:top w:val="none" w:sz="0" w:space="0" w:color="auto"/>
                                    <w:left w:val="none" w:sz="0" w:space="0" w:color="auto"/>
                                    <w:bottom w:val="none" w:sz="0" w:space="0" w:color="auto"/>
                                    <w:right w:val="none" w:sz="0" w:space="0" w:color="auto"/>
                                  </w:divBdr>
                                  <w:divsChild>
                                    <w:div w:id="880748454">
                                      <w:marLeft w:val="0"/>
                                      <w:marRight w:val="0"/>
                                      <w:marTop w:val="0"/>
                                      <w:marBottom w:val="0"/>
                                      <w:divBdr>
                                        <w:top w:val="none" w:sz="0" w:space="0" w:color="auto"/>
                                        <w:left w:val="none" w:sz="0" w:space="0" w:color="auto"/>
                                        <w:bottom w:val="none" w:sz="0" w:space="0" w:color="auto"/>
                                        <w:right w:val="none" w:sz="0" w:space="0" w:color="auto"/>
                                      </w:divBdr>
                                      <w:divsChild>
                                        <w:div w:id="1220826066">
                                          <w:marLeft w:val="0"/>
                                          <w:marRight w:val="0"/>
                                          <w:marTop w:val="0"/>
                                          <w:marBottom w:val="0"/>
                                          <w:divBdr>
                                            <w:top w:val="none" w:sz="0" w:space="0" w:color="auto"/>
                                            <w:left w:val="none" w:sz="0" w:space="0" w:color="auto"/>
                                            <w:bottom w:val="none" w:sz="0" w:space="0" w:color="auto"/>
                                            <w:right w:val="none" w:sz="0" w:space="0" w:color="auto"/>
                                          </w:divBdr>
                                          <w:divsChild>
                                            <w:div w:id="2055276500">
                                              <w:marLeft w:val="0"/>
                                              <w:marRight w:val="0"/>
                                              <w:marTop w:val="0"/>
                                              <w:marBottom w:val="0"/>
                                              <w:divBdr>
                                                <w:top w:val="none" w:sz="0" w:space="0" w:color="auto"/>
                                                <w:left w:val="none" w:sz="0" w:space="0" w:color="auto"/>
                                                <w:bottom w:val="none" w:sz="0" w:space="0" w:color="auto"/>
                                                <w:right w:val="none" w:sz="0" w:space="0" w:color="auto"/>
                                              </w:divBdr>
                                              <w:divsChild>
                                                <w:div w:id="1359550315">
                                                  <w:marLeft w:val="0"/>
                                                  <w:marRight w:val="0"/>
                                                  <w:marTop w:val="0"/>
                                                  <w:marBottom w:val="0"/>
                                                  <w:divBdr>
                                                    <w:top w:val="none" w:sz="0" w:space="0" w:color="auto"/>
                                                    <w:left w:val="none" w:sz="0" w:space="0" w:color="auto"/>
                                                    <w:bottom w:val="none" w:sz="0" w:space="0" w:color="auto"/>
                                                    <w:right w:val="none" w:sz="0" w:space="0" w:color="auto"/>
                                                  </w:divBdr>
                                                </w:div>
                                                <w:div w:id="121971464">
                                                  <w:marLeft w:val="0"/>
                                                  <w:marRight w:val="0"/>
                                                  <w:marTop w:val="0"/>
                                                  <w:marBottom w:val="0"/>
                                                  <w:divBdr>
                                                    <w:top w:val="none" w:sz="0" w:space="0" w:color="auto"/>
                                                    <w:left w:val="none" w:sz="0" w:space="0" w:color="auto"/>
                                                    <w:bottom w:val="none" w:sz="0" w:space="0" w:color="auto"/>
                                                    <w:right w:val="none" w:sz="0" w:space="0" w:color="auto"/>
                                                  </w:divBdr>
                                                  <w:divsChild>
                                                    <w:div w:id="468938400">
                                                      <w:marLeft w:val="0"/>
                                                      <w:marRight w:val="0"/>
                                                      <w:marTop w:val="0"/>
                                                      <w:marBottom w:val="0"/>
                                                      <w:divBdr>
                                                        <w:top w:val="none" w:sz="0" w:space="0" w:color="auto"/>
                                                        <w:left w:val="none" w:sz="0" w:space="0" w:color="auto"/>
                                                        <w:bottom w:val="none" w:sz="0" w:space="0" w:color="auto"/>
                                                        <w:right w:val="none" w:sz="0" w:space="0" w:color="auto"/>
                                                      </w:divBdr>
                                                      <w:divsChild>
                                                        <w:div w:id="2127920791">
                                                          <w:marLeft w:val="0"/>
                                                          <w:marRight w:val="0"/>
                                                          <w:marTop w:val="0"/>
                                                          <w:marBottom w:val="0"/>
                                                          <w:divBdr>
                                                            <w:top w:val="none" w:sz="0" w:space="0" w:color="auto"/>
                                                            <w:left w:val="none" w:sz="0" w:space="0" w:color="auto"/>
                                                            <w:bottom w:val="none" w:sz="0" w:space="0" w:color="auto"/>
                                                            <w:right w:val="none" w:sz="0" w:space="0" w:color="auto"/>
                                                          </w:divBdr>
                                                        </w:div>
                                                      </w:divsChild>
                                                    </w:div>
                                                    <w:div w:id="48944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5720923">
          <w:marLeft w:val="0"/>
          <w:marRight w:val="0"/>
          <w:marTop w:val="0"/>
          <w:marBottom w:val="0"/>
          <w:divBdr>
            <w:top w:val="none" w:sz="0" w:space="0" w:color="auto"/>
            <w:left w:val="none" w:sz="0" w:space="0" w:color="auto"/>
            <w:bottom w:val="none" w:sz="0" w:space="0" w:color="auto"/>
            <w:right w:val="none" w:sz="0" w:space="0" w:color="auto"/>
          </w:divBdr>
          <w:divsChild>
            <w:div w:id="610017303">
              <w:marLeft w:val="0"/>
              <w:marRight w:val="0"/>
              <w:marTop w:val="0"/>
              <w:marBottom w:val="0"/>
              <w:divBdr>
                <w:top w:val="none" w:sz="0" w:space="0" w:color="auto"/>
                <w:left w:val="none" w:sz="0" w:space="0" w:color="auto"/>
                <w:bottom w:val="none" w:sz="0" w:space="0" w:color="auto"/>
                <w:right w:val="none" w:sz="0" w:space="0" w:color="auto"/>
              </w:divBdr>
              <w:divsChild>
                <w:div w:id="1424767308">
                  <w:marLeft w:val="0"/>
                  <w:marRight w:val="0"/>
                  <w:marTop w:val="0"/>
                  <w:marBottom w:val="0"/>
                  <w:divBdr>
                    <w:top w:val="none" w:sz="0" w:space="0" w:color="auto"/>
                    <w:left w:val="none" w:sz="0" w:space="0" w:color="auto"/>
                    <w:bottom w:val="none" w:sz="0" w:space="0" w:color="auto"/>
                    <w:right w:val="none" w:sz="0" w:space="0" w:color="auto"/>
                  </w:divBdr>
                  <w:divsChild>
                    <w:div w:id="29387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566563">
      <w:bodyDiv w:val="1"/>
      <w:marLeft w:val="0"/>
      <w:marRight w:val="0"/>
      <w:marTop w:val="0"/>
      <w:marBottom w:val="0"/>
      <w:divBdr>
        <w:top w:val="none" w:sz="0" w:space="0" w:color="auto"/>
        <w:left w:val="none" w:sz="0" w:space="0" w:color="auto"/>
        <w:bottom w:val="none" w:sz="0" w:space="0" w:color="auto"/>
        <w:right w:val="none" w:sz="0" w:space="0" w:color="auto"/>
      </w:divBdr>
    </w:div>
    <w:div w:id="213012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C5DEA-A843-46DD-90F0-7CB81DB99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1303</Words>
  <Characters>7430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Howatt</dc:creator>
  <cp:keywords>AllLanguages.com - Linguistic Services</cp:keywords>
  <dc:description>Visit Https://My.AllLangauges.com to place your next translation, transcription and/or copy editing request.</dc:description>
  <cp:lastModifiedBy>Jonathan Petsche</cp:lastModifiedBy>
  <cp:revision>2</cp:revision>
  <cp:lastPrinted>2025-03-31T22:40:00Z</cp:lastPrinted>
  <dcterms:created xsi:type="dcterms:W3CDTF">2026-08-25T12:40:00Z</dcterms:created>
  <dcterms:modified xsi:type="dcterms:W3CDTF">2026-08-25T12:40:00Z</dcterms:modified>
</cp:coreProperties>
</file>