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47678" w14:textId="5A8C0513" w:rsidR="005B4C6D" w:rsidRDefault="005B4C6D" w:rsidP="005B4C6D">
      <w:pPr>
        <w:shd w:val="clear" w:color="auto" w:fill="FFFFFF"/>
        <w:spacing w:before="100" w:beforeAutospacing="1" w:after="100" w:afterAutospacing="1" w:line="240" w:lineRule="auto"/>
        <w:outlineLvl w:val="2"/>
        <w:rPr>
          <w:rFonts w:ascii="Calibri" w:eastAsia="Times New Roman" w:hAnsi="Calibri" w:cs="Calibri"/>
          <w:b/>
          <w:bCs/>
          <w:color w:val="000000"/>
          <w:kern w:val="0"/>
          <w:sz w:val="24"/>
          <w:szCs w:val="24"/>
          <w14:ligatures w14:val="none"/>
        </w:rPr>
      </w:pPr>
      <w:r>
        <w:rPr>
          <w:rFonts w:ascii="Calibri" w:hAnsi="Calibri"/>
          <w:b/>
          <w:bCs/>
          <w:color w:val="000000"/>
          <w:sz w:val="24"/>
          <w:szCs w:val="24"/>
        </w:rPr>
        <w:t>Mener la lutte contre l’incivilité : guide à l’intention des employeurs pour instaurer des milieux de travail respectueux</w:t>
      </w:r>
    </w:p>
    <w:p w14:paraId="3A418E32" w14:textId="77777777" w:rsidR="005B4C6D" w:rsidRDefault="005B4C6D" w:rsidP="005B4C6D">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Consciemment ou inconsciemment, les PDG et les membres de la direction prennent quotidiennement des décisions qui définissent les opinions et attentes du personnel en matière de civilité. Lorsqu’elle est tolérée et qu’on ne la combat pas, l’incivilité peut avoir une incidence négative sur le personnel.</w:t>
      </w:r>
    </w:p>
    <w:p w14:paraId="7FF8DB44" w14:textId="77777777" w:rsidR="005B4C6D" w:rsidRDefault="005B4C6D" w:rsidP="005B4C6D">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Pour lutter contre l’incivilité, les dirigeants doivent fixer des normes et donner l’exemple en matière de civilité à travers leurs interactions quotidiennes avec l’ensemble du personnel. Les dirigeants favorisent une culture inclusive où tous les employés se sentent valorisés et en sécurité sur le plan psychologique, en adoptant un comportement respectueux aussi bien dans les bons moments que dans les moments difficiles.</w:t>
      </w:r>
    </w:p>
    <w:p w14:paraId="0900CE5F" w14:textId="77777777" w:rsidR="005B4C6D" w:rsidRPr="00D76BCD" w:rsidRDefault="005B4C6D" w:rsidP="005B4C6D">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La prévention et la gestion de l’incivilité relèvent de la responsabilité partagée de l’ensemble des employés et des dirigeants. Les dirigeants, en particulier, jouent un rôle crucial en définissant des attentes claires, en s’attaquant de manière proactive aux actes d’incivilité et en les corrigeant, tout en tirant parti de leur autorité et de leur position pour favoriser un environnement de travail respectueux.</w:t>
      </w:r>
    </w:p>
    <w:p w14:paraId="7EF9BFFD" w14:textId="77777777" w:rsidR="005B4C6D" w:rsidRPr="00881D8D" w:rsidRDefault="005B4C6D" w:rsidP="005B4C6D">
      <w:pPr>
        <w:shd w:val="clear" w:color="auto" w:fill="FFFFFF"/>
        <w:spacing w:before="100" w:beforeAutospacing="1" w:after="100" w:afterAutospacing="1" w:line="240" w:lineRule="auto"/>
        <w:outlineLvl w:val="2"/>
        <w:rPr>
          <w:rFonts w:ascii="Calibri" w:eastAsia="Times New Roman" w:hAnsi="Calibri" w:cs="Calibri"/>
          <w:b/>
          <w:bCs/>
          <w:color w:val="000000"/>
          <w:kern w:val="0"/>
          <w:sz w:val="24"/>
          <w:szCs w:val="24"/>
          <w14:ligatures w14:val="none"/>
        </w:rPr>
      </w:pPr>
      <w:r>
        <w:rPr>
          <w:rFonts w:ascii="Calibri" w:hAnsi="Calibri"/>
          <w:color w:val="000000"/>
          <w:sz w:val="24"/>
          <w:szCs w:val="24"/>
        </w:rPr>
        <w:t>Les employés peuvent assumer la responsabilité de leur attitude au quotidien, assumer leur comportement lorsqu’on leur fait remarquer qu’ils ont manqué de politesse, et se faire les défenseurs de la lutte contre les actes d’incivilité dont eux-mêmes ou d’autres sont victimes.</w:t>
      </w:r>
    </w:p>
    <w:p w14:paraId="4E4756ED" w14:textId="77777777" w:rsidR="005B4C6D" w:rsidRDefault="005B4C6D" w:rsidP="005B4C6D">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 xml:space="preserve">La sécurité psychologique renforce le rôle des dirigeants en tant que facteurs de protection et acteurs du changement et de la transformation de la culture d’entreprise. Les dirigeants façonnent les normes du lieu de travail par leurs paroles et leurs actes, influençant ainsi le ton et la culture dans lesquels les employés travaillent. Les dirigeants qui donnent l’exemple et qui parlent régulièrement des avantages et des attentes liés à un comportement respectueux de la part de tous les employés renforcent les valeurs et les normes d’excellence de l’entreprise. </w:t>
      </w:r>
    </w:p>
    <w:p w14:paraId="21DEB26B" w14:textId="77777777" w:rsidR="005B4C6D" w:rsidRDefault="005B4C6D" w:rsidP="005B4C6D">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Les dirigeants efficaces traitent les cas d’incivilité rapidement et de manière non menaçante, en incitant les gens à assumer leurs responsabilités et à apprendre. Que les comportements incivils se produisent lors de réunions, dans des courriels ou lors de conversations informelles, agir rapidement constitue une conduite appropriée et montre que l’impolitesse est inacceptable. Elle définit l’attente consistant à mettre fin aux actions indésirables et à adopter les comportements souhaités.</w:t>
      </w:r>
    </w:p>
    <w:p w14:paraId="776F710F" w14:textId="77777777" w:rsidR="005B4C6D" w:rsidRPr="00A74B95" w:rsidRDefault="005B4C6D" w:rsidP="005B4C6D">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Les dirigeants doivent aborder les cas d’incivilité avec calme, clarté et équité, et avec la détermination de les résoudre, en veillant à ce que tous les membres de l’équipe se sentent soutenus et valorisés. Ils doivent accepter que les employés commettent des erreurs tout en créant des occasions d’apprendre et d’aller de l’avant.</w:t>
      </w:r>
    </w:p>
    <w:p w14:paraId="09514384" w14:textId="77777777" w:rsidR="005B4C6D" w:rsidRDefault="005B4C6D" w:rsidP="005B4C6D">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lastRenderedPageBreak/>
        <w:t>Les employeurs devraient mettre en place un cadre visant à promouvoir la civilité et à définir des attentes afin d’atténuer le risque d’impolitesse sur le lieu de travail. Cela peut commencer dès l’intégration des recrues, en les sensibilisant aux valeurs de l’organisation, et en proposant à tous les employés une formation respectueuse et sécurisante sur les attentes en matière de civilité. Un programme de développement peut aider les employés à améliorer leurs compétences intrapersonnelles (p. ex., une formation sur l’intelligence émotionnelle) et interpersonnelles (p. ex., l’affirmation de soi, la communication, la résolution des conflits) afin de mieux se défendre et défendre les autres face à des actes d’incivilité au travail.</w:t>
      </w:r>
    </w:p>
    <w:p w14:paraId="0D97C432" w14:textId="77777777" w:rsidR="005B4C6D" w:rsidRDefault="005B4C6D" w:rsidP="005B4C6D">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 xml:space="preserve">Une formation pratique axée sur le soutien, qui enseigne des </w:t>
      </w:r>
      <w:proofErr w:type="spellStart"/>
      <w:r>
        <w:rPr>
          <w:rFonts w:ascii="Calibri" w:hAnsi="Calibri"/>
          <w:color w:val="000000"/>
          <w:sz w:val="24"/>
          <w:szCs w:val="24"/>
        </w:rPr>
        <w:t>microcompétences</w:t>
      </w:r>
      <w:proofErr w:type="spellEnd"/>
      <w:r>
        <w:rPr>
          <w:rFonts w:ascii="Calibri" w:hAnsi="Calibri"/>
          <w:color w:val="000000"/>
          <w:sz w:val="24"/>
          <w:szCs w:val="24"/>
        </w:rPr>
        <w:t xml:space="preserve"> telles que l’écoute active, la capacité à donner et à recevoir des rétroactions constructives ainsi que la gestion des émotions, peut donner aux employés les moyens de gérer en toute confiance des interactions interpersonnelles difficiles, comme les cas d’incivilité. Une approche de formation utile consiste à s’appuyer sur des exercices de prise de conscience de soi et des défis liés à la civilité, ainsi que sur des simulations de situations, permettant aux employés d’explorer différentes options pour faire face à l’incivilité.</w:t>
      </w:r>
    </w:p>
    <w:p w14:paraId="124E7035" w14:textId="77777777" w:rsidR="005B4C6D" w:rsidRPr="00A74B95" w:rsidRDefault="005B4C6D" w:rsidP="005B4C6D">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 xml:space="preserve">Quelle que soit la formation choisie, il est utile de mettre en place une évaluation du programme, de concevoir un apprentissage favorisant un retour d’information et </w:t>
      </w:r>
      <w:proofErr w:type="gramStart"/>
      <w:r>
        <w:rPr>
          <w:rFonts w:ascii="Calibri" w:hAnsi="Calibri"/>
          <w:color w:val="000000"/>
          <w:sz w:val="24"/>
          <w:szCs w:val="24"/>
        </w:rPr>
        <w:t>un suivi continus</w:t>
      </w:r>
      <w:proofErr w:type="gramEnd"/>
      <w:r>
        <w:rPr>
          <w:rFonts w:ascii="Calibri" w:hAnsi="Calibri"/>
          <w:color w:val="000000"/>
          <w:sz w:val="24"/>
          <w:szCs w:val="24"/>
        </w:rPr>
        <w:t xml:space="preserve">, et de s’informer sur la manière dont les employés vivent les situations d’incivilité afin de déterminer l’efficacité des initiatives promouvant la civilité. Les employeurs sont encouragés à promouvoir la civilité dans le cadre des programmes de santé mentale au travail afin de favoriser une culture bienveillante et inclusive. </w:t>
      </w:r>
    </w:p>
    <w:p w14:paraId="66336403" w14:textId="77777777" w:rsidR="005B4C6D" w:rsidRDefault="005B4C6D" w:rsidP="005B4C6D">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 xml:space="preserve">Pour lutter contre l’incivilité, il est essentiel de cultiver une culture de lieu de travail bienveillante et inclusive. Quand on veut instaurer une politique d’entreprise respectueuse et sécurisante, il ne faut pas partir du principe que tous les employés pensent de la même manière ou partagent les mêmes critères quant à ce qui est considéré comme étant impoli. </w:t>
      </w:r>
    </w:p>
    <w:p w14:paraId="5C90C139" w14:textId="77777777" w:rsidR="005B4C6D" w:rsidRDefault="005B4C6D" w:rsidP="005B4C6D">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 xml:space="preserve">Les dirigeants doivent renforcer et encourager les comportements acceptables ainsi que les attentes qui responsabilisent les employés quant à leur comportement. Les employeurs ont tout intérêt à exprimer régulièrement leurs attentes en matière de civilité par le biais de politiques, de formations, de réunions du personnel, de rappels des valeurs de l’entreprise, de sondages aléatoires et de groupes de discussion afin de prendre le pouls des employés relativement à leur expérience. Cette approche démontre que l’employeur se soucie de ses employés, qu’il est engagé et qu’il vise l’excellence, et non pas qu’il se contente de cocher des cases. </w:t>
      </w:r>
    </w:p>
    <w:p w14:paraId="38518465" w14:textId="77777777" w:rsidR="005B4C6D" w:rsidRPr="00A74B95" w:rsidRDefault="005B4C6D" w:rsidP="005B4C6D">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 xml:space="preserve">Les employeurs peuvent favoriser la civilité en organisant des événements tels que des rencontres informelles, des activités de constitution d’équipe et des programmes de reconnaissance, afin d’aider les employés à comprendre qu’ils font partie d’un ensemble qui les dépasse. Cela peut leur donner un sens à leur travail et les aider à comprendre que leurs comportements ont une incidence sur la réussite de leur équipe et de leur organisation. </w:t>
      </w:r>
    </w:p>
    <w:p w14:paraId="2A50E49E" w14:textId="77777777" w:rsidR="005B4C6D" w:rsidRPr="00D55588" w:rsidRDefault="005B4C6D" w:rsidP="005B4C6D">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lastRenderedPageBreak/>
        <w:t xml:space="preserve">Les employeurs peuvent permettre à leurs employés d’exprimer leurs préoccupations en toute confidentialité et sans crainte de représailles, en mettant en place des plateformes de signalement anonymes ou en désignant des représentants des ressources humaines chargés de traiter ces préoccupations en toute discrétion. En traitant les rétroactions d’expérience de manière constructive et transparente, les employeurs montrent à leur personnel que l’expérience et l’avis de chaque employé comptent. Ils peuvent recourir à des sondages ponctuels pour vérifier si leurs interventions parviennent à mettre fin aux comportements incivils. </w:t>
      </w:r>
    </w:p>
    <w:p w14:paraId="7C5F57A3" w14:textId="77777777" w:rsidR="005B4C6D" w:rsidRPr="00D55588" w:rsidRDefault="005B4C6D" w:rsidP="005B4C6D">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La prévention et la lutte contre l’incivilité relèvent d’une responsabilité partagée entre les employés et les dirigeants. Les cadres supérieurs sont les fers de lance qui définissent les attentes quant aux raisons, à la nature et à la manière dont la civilité aidera l’organisation à réussir et à atteindre son plein potentiel en instaurant une culture du respect. Une culture de la civilité favorise une baisse des demandes d’indemnisation pour invalidité, de l’absentéisme et du taux de rotation du personnel, ainsi qu’une hausse de la productivité. Les employés qui se sentent respectés et soutenus viennent travailler sans crainte et donnent le meilleur d’eux-mêmes.</w:t>
      </w:r>
    </w:p>
    <w:p w14:paraId="70B20B09" w14:textId="77777777" w:rsidR="005B4C6D" w:rsidRDefault="005B4C6D" w:rsidP="005B4C6D">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Même les employeurs motivés peuvent rencontrer des difficultés à lutter contre l’incivilité. Il s’agit d’un sujet complexe, car la perception de l’impolitesse est subjective. Je parle d’une « limite floue de l’impolitesse », car deux personnes confrontées à la même situation peuvent avoir des perceptions différentes de ce qu’elles ont vécu.</w:t>
      </w:r>
    </w:p>
    <w:p w14:paraId="795E5E2A" w14:textId="77777777" w:rsidR="005B4C6D" w:rsidRDefault="005B4C6D" w:rsidP="005B4C6D">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 xml:space="preserve">Les employeurs doivent comprendre que les employés ont des attentes différentes et qu’il faut les encourager à s’exprimer s’ils estiment qu’on leur a manqué de respect. L’intention est sans importance. Ce qui compte, c’est la possibilité d’apprendre, d’assumer sa responsabilité et de progresser. </w:t>
      </w:r>
    </w:p>
    <w:p w14:paraId="344F61E0" w14:textId="77777777" w:rsidR="005B4C6D" w:rsidRDefault="005B4C6D" w:rsidP="005B4C6D">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L’incivilité en milieu de travail n’est pas un problème facile à résoudre. Il exige une action de la part des employeurs, des dirigeants et des employés. Un milieu de travail respectueux ne se construit pas sur des efforts superficiels ni sur des politiques prises pour la bonne forme. Cela nécessite un engagement en faveur de la civilité, en favorisant la responsabilisation et en définissant clairement ce qui est considéré comme un comportement approprié.</w:t>
      </w:r>
    </w:p>
    <w:p w14:paraId="646AA883" w14:textId="77777777" w:rsidR="005B4C6D" w:rsidRPr="007B2CC7" w:rsidRDefault="005B4C6D" w:rsidP="005B4C6D">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Les employeurs doivent adopter une approche structurée, axée sur des étapes de planification, d’action et de vérification pour prévenir et contrer l’incivilité. Cela commence par la définition d’attentes claires, la mise en œuvre d’une politique de respect et de sécurité ainsi que la création et l’évaluation régulière de programmes de formation pertinents.</w:t>
      </w:r>
    </w:p>
    <w:p w14:paraId="6ACF9722" w14:textId="77777777" w:rsidR="005B4C6D" w:rsidRPr="007B2CC7" w:rsidRDefault="005B4C6D" w:rsidP="005B4C6D">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 xml:space="preserve">L’incivilité en milieu de travail doit être au cœur de toute initiative en matière de santé mentale ou de sécurité psychologique. Lorsque la civilité est placée au premier plan dans le cadre de ces programmes, elle atténue les risques de préjudice psychologique et favorise une culture d’inclusion et de respect mutuel. Les employeurs qui montrent l’exemple, défendent ouvertement la civilité et fournissent à leurs employés les outils nécessaires pour gérer les </w:t>
      </w:r>
      <w:r>
        <w:rPr>
          <w:rFonts w:ascii="Calibri" w:hAnsi="Calibri"/>
          <w:color w:val="000000"/>
          <w:sz w:val="24"/>
          <w:szCs w:val="24"/>
        </w:rPr>
        <w:lastRenderedPageBreak/>
        <w:t>incidents d’incivilité et en tirer des leçons créent des environnements de travail sûrs, sains et productifs.</w:t>
      </w:r>
    </w:p>
    <w:p w14:paraId="38E5E29F" w14:textId="77777777" w:rsidR="005B4C6D" w:rsidRDefault="005B4C6D" w:rsidP="005B4C6D">
      <w:pPr>
        <w:shd w:val="clear" w:color="auto" w:fill="FFFFFF"/>
        <w:spacing w:before="100" w:beforeAutospacing="1" w:after="100" w:afterAutospacing="1" w:line="240" w:lineRule="auto"/>
        <w:outlineLvl w:val="2"/>
        <w:rPr>
          <w:rFonts w:ascii="Calibri" w:eastAsia="Times New Roman" w:hAnsi="Calibri" w:cs="Calibri"/>
          <w:b/>
          <w:bCs/>
          <w:color w:val="000000"/>
          <w:kern w:val="0"/>
          <w:sz w:val="24"/>
          <w:szCs w:val="24"/>
          <w14:ligatures w14:val="none"/>
        </w:rPr>
      </w:pPr>
      <w:r>
        <w:rPr>
          <w:rFonts w:ascii="Calibri" w:hAnsi="Calibri"/>
          <w:color w:val="000000"/>
          <w:sz w:val="24"/>
          <w:szCs w:val="24"/>
        </w:rPr>
        <w:t xml:space="preserve">Lutter contre l’incivilité, c’est créer des environnements de travail où les employés se sentent valorisés et respectés. Les employeurs qui défendent cette cause démontrent leur engagement envers leur personnel et leur vision de l’excellence. </w:t>
      </w:r>
    </w:p>
    <w:sectPr w:rsidR="005B4C6D" w:rsidSect="008F40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46579"/>
    <w:multiLevelType w:val="multilevel"/>
    <w:tmpl w:val="3226350C"/>
    <w:lvl w:ilvl="0">
      <w:start w:val="1"/>
      <w:numFmt w:val="bullet"/>
      <w:lvlText w:val="o"/>
      <w:lvlJc w:val="left"/>
      <w:pPr>
        <w:tabs>
          <w:tab w:val="num" w:pos="2520"/>
        </w:tabs>
        <w:ind w:left="2520" w:hanging="360"/>
      </w:pPr>
      <w:rPr>
        <w:rFonts w:ascii="Courier New" w:hAnsi="Courier New" w:cs="Courier New"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 w15:restartNumberingAfterBreak="0">
    <w:nsid w:val="0A1D2C6E"/>
    <w:multiLevelType w:val="multilevel"/>
    <w:tmpl w:val="76FE6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53F44"/>
    <w:multiLevelType w:val="multilevel"/>
    <w:tmpl w:val="51604B1E"/>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10F53A2D"/>
    <w:multiLevelType w:val="multilevel"/>
    <w:tmpl w:val="BA50390C"/>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B36EB6"/>
    <w:multiLevelType w:val="multilevel"/>
    <w:tmpl w:val="C37AA2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CD5E8A"/>
    <w:multiLevelType w:val="multilevel"/>
    <w:tmpl w:val="5E26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ED2DA5"/>
    <w:multiLevelType w:val="multilevel"/>
    <w:tmpl w:val="B81C94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646056"/>
    <w:multiLevelType w:val="multilevel"/>
    <w:tmpl w:val="7C94AF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6"/>
      <w:numFmt w:val="decimal"/>
      <w:lvlText w:val="%3."/>
      <w:lvlJc w:val="left"/>
      <w:pPr>
        <w:ind w:left="3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3A4E38"/>
    <w:multiLevelType w:val="multilevel"/>
    <w:tmpl w:val="5E9857E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363584"/>
    <w:multiLevelType w:val="multilevel"/>
    <w:tmpl w:val="ECA4F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1030A8"/>
    <w:multiLevelType w:val="hybridMultilevel"/>
    <w:tmpl w:val="D50E38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44337DB"/>
    <w:multiLevelType w:val="multilevel"/>
    <w:tmpl w:val="3B2C9A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5441FE"/>
    <w:multiLevelType w:val="multilevel"/>
    <w:tmpl w:val="3034830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DD4CA7"/>
    <w:multiLevelType w:val="multilevel"/>
    <w:tmpl w:val="E222DA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A36F57"/>
    <w:multiLevelType w:val="multilevel"/>
    <w:tmpl w:val="B18E2286"/>
    <w:lvl w:ilvl="0">
      <w:start w:val="1"/>
      <w:numFmt w:val="bullet"/>
      <w:lvlText w:val="o"/>
      <w:lvlJc w:val="left"/>
      <w:pPr>
        <w:tabs>
          <w:tab w:val="num" w:pos="1800"/>
        </w:tabs>
        <w:ind w:left="1800" w:hanging="360"/>
      </w:pPr>
      <w:rPr>
        <w:rFonts w:ascii="Courier New" w:hAnsi="Courier New" w:cs="Courier New"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5" w15:restartNumberingAfterBreak="0">
    <w:nsid w:val="4D67227C"/>
    <w:multiLevelType w:val="multilevel"/>
    <w:tmpl w:val="540E16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A92A02"/>
    <w:multiLevelType w:val="multilevel"/>
    <w:tmpl w:val="19785E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3907FE"/>
    <w:multiLevelType w:val="multilevel"/>
    <w:tmpl w:val="1A4421B0"/>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58005091"/>
    <w:multiLevelType w:val="multilevel"/>
    <w:tmpl w:val="208E3E3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59A54A35"/>
    <w:multiLevelType w:val="multilevel"/>
    <w:tmpl w:val="0950C58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FB2BA2"/>
    <w:multiLevelType w:val="multilevel"/>
    <w:tmpl w:val="FE12C7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1440" w:hanging="360"/>
      </w:pPr>
      <w:rPr>
        <w:rFonts w:hint="default"/>
        <w:b/>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6CD1C58"/>
    <w:multiLevelType w:val="multilevel"/>
    <w:tmpl w:val="3B72D5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A048CB"/>
    <w:multiLevelType w:val="multilevel"/>
    <w:tmpl w:val="E832683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0600DE"/>
    <w:multiLevelType w:val="multilevel"/>
    <w:tmpl w:val="5C14C02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D0011B"/>
    <w:multiLevelType w:val="multilevel"/>
    <w:tmpl w:val="B8263DC2"/>
    <w:lvl w:ilvl="0">
      <w:start w:val="1"/>
      <w:numFmt w:val="bullet"/>
      <w:lvlText w:val="o"/>
      <w:lvlJc w:val="left"/>
      <w:pPr>
        <w:tabs>
          <w:tab w:val="num" w:pos="2520"/>
        </w:tabs>
        <w:ind w:left="2520" w:hanging="360"/>
      </w:pPr>
      <w:rPr>
        <w:rFonts w:ascii="Courier New" w:hAnsi="Courier New" w:cs="Courier New"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25" w15:restartNumberingAfterBreak="0">
    <w:nsid w:val="7CD24DEA"/>
    <w:multiLevelType w:val="multilevel"/>
    <w:tmpl w:val="B322B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1989791">
    <w:abstractNumId w:val="11"/>
  </w:num>
  <w:num w:numId="2" w16cid:durableId="1777477495">
    <w:abstractNumId w:val="20"/>
  </w:num>
  <w:num w:numId="3" w16cid:durableId="1182621764">
    <w:abstractNumId w:val="5"/>
  </w:num>
  <w:num w:numId="4" w16cid:durableId="1738475321">
    <w:abstractNumId w:val="10"/>
  </w:num>
  <w:num w:numId="5" w16cid:durableId="1134760066">
    <w:abstractNumId w:val="25"/>
  </w:num>
  <w:num w:numId="6" w16cid:durableId="901913546">
    <w:abstractNumId w:val="14"/>
  </w:num>
  <w:num w:numId="7" w16cid:durableId="841505941">
    <w:abstractNumId w:val="0"/>
  </w:num>
  <w:num w:numId="8" w16cid:durableId="1255362194">
    <w:abstractNumId w:val="16"/>
  </w:num>
  <w:num w:numId="9" w16cid:durableId="1218316771">
    <w:abstractNumId w:val="9"/>
  </w:num>
  <w:num w:numId="10" w16cid:durableId="1426801270">
    <w:abstractNumId w:val="6"/>
  </w:num>
  <w:num w:numId="11" w16cid:durableId="352461917">
    <w:abstractNumId w:val="15"/>
  </w:num>
  <w:num w:numId="12" w16cid:durableId="412894352">
    <w:abstractNumId w:val="21"/>
  </w:num>
  <w:num w:numId="13" w16cid:durableId="284965210">
    <w:abstractNumId w:val="4"/>
  </w:num>
  <w:num w:numId="14" w16cid:durableId="1582179598">
    <w:abstractNumId w:val="1"/>
  </w:num>
  <w:num w:numId="15" w16cid:durableId="1643080333">
    <w:abstractNumId w:val="22"/>
  </w:num>
  <w:num w:numId="16" w16cid:durableId="2122914628">
    <w:abstractNumId w:val="8"/>
  </w:num>
  <w:num w:numId="17" w16cid:durableId="275526711">
    <w:abstractNumId w:val="3"/>
  </w:num>
  <w:num w:numId="18" w16cid:durableId="1635408162">
    <w:abstractNumId w:val="23"/>
  </w:num>
  <w:num w:numId="19" w16cid:durableId="1238126237">
    <w:abstractNumId w:val="2"/>
  </w:num>
  <w:num w:numId="20" w16cid:durableId="1238201959">
    <w:abstractNumId w:val="17"/>
  </w:num>
  <w:num w:numId="21" w16cid:durableId="146094954">
    <w:abstractNumId w:val="19"/>
  </w:num>
  <w:num w:numId="22" w16cid:durableId="2083210803">
    <w:abstractNumId w:val="18"/>
  </w:num>
  <w:num w:numId="23" w16cid:durableId="1534029658">
    <w:abstractNumId w:val="7"/>
  </w:num>
  <w:num w:numId="24" w16cid:durableId="2055548">
    <w:abstractNumId w:val="12"/>
  </w:num>
  <w:num w:numId="25" w16cid:durableId="1660234106">
    <w:abstractNumId w:val="13"/>
  </w:num>
  <w:num w:numId="26" w16cid:durableId="503516339">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LcwNDE0NDaytLA0MzBW0lEKTi0uzszPAykwqgUA0Gn8VywAAAA="/>
  </w:docVars>
  <w:rsids>
    <w:rsidRoot w:val="0041435D"/>
    <w:rsid w:val="000034B0"/>
    <w:rsid w:val="000106FC"/>
    <w:rsid w:val="00010DEF"/>
    <w:rsid w:val="00013F88"/>
    <w:rsid w:val="00016BD7"/>
    <w:rsid w:val="00037B45"/>
    <w:rsid w:val="0004020F"/>
    <w:rsid w:val="00046CD2"/>
    <w:rsid w:val="0005363E"/>
    <w:rsid w:val="00061966"/>
    <w:rsid w:val="00072817"/>
    <w:rsid w:val="00072EDD"/>
    <w:rsid w:val="00075343"/>
    <w:rsid w:val="00075DD5"/>
    <w:rsid w:val="00082C3E"/>
    <w:rsid w:val="0008308C"/>
    <w:rsid w:val="000834B7"/>
    <w:rsid w:val="000846DF"/>
    <w:rsid w:val="00094A1C"/>
    <w:rsid w:val="000A34DE"/>
    <w:rsid w:val="000A629B"/>
    <w:rsid w:val="000A6B35"/>
    <w:rsid w:val="000B5522"/>
    <w:rsid w:val="000C3585"/>
    <w:rsid w:val="000D052B"/>
    <w:rsid w:val="000D78A8"/>
    <w:rsid w:val="000E554D"/>
    <w:rsid w:val="000E72BA"/>
    <w:rsid w:val="000F25ED"/>
    <w:rsid w:val="00112D6C"/>
    <w:rsid w:val="00112D8E"/>
    <w:rsid w:val="00125F1A"/>
    <w:rsid w:val="0013665F"/>
    <w:rsid w:val="00153E7B"/>
    <w:rsid w:val="00166FDD"/>
    <w:rsid w:val="001959FA"/>
    <w:rsid w:val="001A459B"/>
    <w:rsid w:val="001A4EDD"/>
    <w:rsid w:val="001B7BF8"/>
    <w:rsid w:val="001C5BEF"/>
    <w:rsid w:val="001D65B6"/>
    <w:rsid w:val="001D7200"/>
    <w:rsid w:val="001E0ABA"/>
    <w:rsid w:val="001F5954"/>
    <w:rsid w:val="0021770F"/>
    <w:rsid w:val="002218E9"/>
    <w:rsid w:val="00226561"/>
    <w:rsid w:val="002305C7"/>
    <w:rsid w:val="00236009"/>
    <w:rsid w:val="00241CB9"/>
    <w:rsid w:val="00246A5A"/>
    <w:rsid w:val="0026590E"/>
    <w:rsid w:val="00265CEF"/>
    <w:rsid w:val="002762CB"/>
    <w:rsid w:val="002803C5"/>
    <w:rsid w:val="002854FD"/>
    <w:rsid w:val="00285E25"/>
    <w:rsid w:val="002966CA"/>
    <w:rsid w:val="002976D2"/>
    <w:rsid w:val="002A5CFA"/>
    <w:rsid w:val="002C0391"/>
    <w:rsid w:val="002C7977"/>
    <w:rsid w:val="002D58B2"/>
    <w:rsid w:val="002F01D8"/>
    <w:rsid w:val="002F2ED6"/>
    <w:rsid w:val="002F3AA7"/>
    <w:rsid w:val="003000D7"/>
    <w:rsid w:val="0032456C"/>
    <w:rsid w:val="00326A8A"/>
    <w:rsid w:val="00340603"/>
    <w:rsid w:val="00340740"/>
    <w:rsid w:val="0034269A"/>
    <w:rsid w:val="00343626"/>
    <w:rsid w:val="0034482A"/>
    <w:rsid w:val="00346793"/>
    <w:rsid w:val="00354F24"/>
    <w:rsid w:val="003573A9"/>
    <w:rsid w:val="00365C1E"/>
    <w:rsid w:val="003668E4"/>
    <w:rsid w:val="003740A4"/>
    <w:rsid w:val="003809CD"/>
    <w:rsid w:val="003955B0"/>
    <w:rsid w:val="003A227C"/>
    <w:rsid w:val="003A6722"/>
    <w:rsid w:val="003B158E"/>
    <w:rsid w:val="003C5C4C"/>
    <w:rsid w:val="003D0086"/>
    <w:rsid w:val="003D1533"/>
    <w:rsid w:val="003E783B"/>
    <w:rsid w:val="003F03A5"/>
    <w:rsid w:val="003F2C11"/>
    <w:rsid w:val="003F784F"/>
    <w:rsid w:val="00402345"/>
    <w:rsid w:val="00412A21"/>
    <w:rsid w:val="00412D00"/>
    <w:rsid w:val="0041435D"/>
    <w:rsid w:val="00414AD7"/>
    <w:rsid w:val="00417A1E"/>
    <w:rsid w:val="004271FA"/>
    <w:rsid w:val="00443707"/>
    <w:rsid w:val="004542E0"/>
    <w:rsid w:val="004563C3"/>
    <w:rsid w:val="004564C0"/>
    <w:rsid w:val="00456DE6"/>
    <w:rsid w:val="0046101F"/>
    <w:rsid w:val="00465D21"/>
    <w:rsid w:val="0047305E"/>
    <w:rsid w:val="004806D7"/>
    <w:rsid w:val="00482F1B"/>
    <w:rsid w:val="004963ED"/>
    <w:rsid w:val="00496466"/>
    <w:rsid w:val="004A035F"/>
    <w:rsid w:val="004A2048"/>
    <w:rsid w:val="004A5939"/>
    <w:rsid w:val="004B7A65"/>
    <w:rsid w:val="004C7F09"/>
    <w:rsid w:val="0050129A"/>
    <w:rsid w:val="00507BFD"/>
    <w:rsid w:val="00520D22"/>
    <w:rsid w:val="00524798"/>
    <w:rsid w:val="00525F63"/>
    <w:rsid w:val="0052701C"/>
    <w:rsid w:val="00534340"/>
    <w:rsid w:val="005451B3"/>
    <w:rsid w:val="005457D4"/>
    <w:rsid w:val="00547075"/>
    <w:rsid w:val="00550422"/>
    <w:rsid w:val="00552831"/>
    <w:rsid w:val="0055634D"/>
    <w:rsid w:val="00563529"/>
    <w:rsid w:val="005666B0"/>
    <w:rsid w:val="00567812"/>
    <w:rsid w:val="00572C38"/>
    <w:rsid w:val="00572F72"/>
    <w:rsid w:val="00573308"/>
    <w:rsid w:val="00580094"/>
    <w:rsid w:val="00584469"/>
    <w:rsid w:val="00585ADF"/>
    <w:rsid w:val="00585B01"/>
    <w:rsid w:val="00586E2B"/>
    <w:rsid w:val="0059382B"/>
    <w:rsid w:val="005A7563"/>
    <w:rsid w:val="005A7939"/>
    <w:rsid w:val="005B4C6D"/>
    <w:rsid w:val="005B7E66"/>
    <w:rsid w:val="005C140B"/>
    <w:rsid w:val="005C2ADD"/>
    <w:rsid w:val="005D1CDB"/>
    <w:rsid w:val="005E2409"/>
    <w:rsid w:val="005E65C1"/>
    <w:rsid w:val="005F26B2"/>
    <w:rsid w:val="005F3CBD"/>
    <w:rsid w:val="005F5337"/>
    <w:rsid w:val="006057C9"/>
    <w:rsid w:val="00617B4F"/>
    <w:rsid w:val="00617F3F"/>
    <w:rsid w:val="0062423A"/>
    <w:rsid w:val="00625054"/>
    <w:rsid w:val="006276EA"/>
    <w:rsid w:val="006371AC"/>
    <w:rsid w:val="006410F7"/>
    <w:rsid w:val="00644874"/>
    <w:rsid w:val="0065214A"/>
    <w:rsid w:val="00662E1F"/>
    <w:rsid w:val="00663A92"/>
    <w:rsid w:val="006759B8"/>
    <w:rsid w:val="00677EB2"/>
    <w:rsid w:val="00682EE7"/>
    <w:rsid w:val="00695AFF"/>
    <w:rsid w:val="006B4775"/>
    <w:rsid w:val="006D0E57"/>
    <w:rsid w:val="006E24AF"/>
    <w:rsid w:val="006E477C"/>
    <w:rsid w:val="006F3048"/>
    <w:rsid w:val="006F57D5"/>
    <w:rsid w:val="00701FAD"/>
    <w:rsid w:val="00705CDF"/>
    <w:rsid w:val="00711F8D"/>
    <w:rsid w:val="00720109"/>
    <w:rsid w:val="00724C48"/>
    <w:rsid w:val="00730BF4"/>
    <w:rsid w:val="007322C8"/>
    <w:rsid w:val="00732C06"/>
    <w:rsid w:val="007563E7"/>
    <w:rsid w:val="007648C4"/>
    <w:rsid w:val="0077109A"/>
    <w:rsid w:val="00780AE6"/>
    <w:rsid w:val="00782389"/>
    <w:rsid w:val="00785EF4"/>
    <w:rsid w:val="007863EB"/>
    <w:rsid w:val="00786F41"/>
    <w:rsid w:val="007903C5"/>
    <w:rsid w:val="007916D5"/>
    <w:rsid w:val="007919F0"/>
    <w:rsid w:val="00796FE1"/>
    <w:rsid w:val="007A0642"/>
    <w:rsid w:val="007A178A"/>
    <w:rsid w:val="007A5A51"/>
    <w:rsid w:val="007B1752"/>
    <w:rsid w:val="007B2CC7"/>
    <w:rsid w:val="007B39B5"/>
    <w:rsid w:val="007D468F"/>
    <w:rsid w:val="007D728F"/>
    <w:rsid w:val="00814965"/>
    <w:rsid w:val="0083054E"/>
    <w:rsid w:val="00830CF9"/>
    <w:rsid w:val="008315B4"/>
    <w:rsid w:val="00837B41"/>
    <w:rsid w:val="008537EB"/>
    <w:rsid w:val="00855500"/>
    <w:rsid w:val="0085747C"/>
    <w:rsid w:val="00864CC4"/>
    <w:rsid w:val="00876620"/>
    <w:rsid w:val="00880F7D"/>
    <w:rsid w:val="00881D8D"/>
    <w:rsid w:val="00885A5B"/>
    <w:rsid w:val="00895D6C"/>
    <w:rsid w:val="00896DE0"/>
    <w:rsid w:val="008A3C34"/>
    <w:rsid w:val="008A3E1E"/>
    <w:rsid w:val="008A6993"/>
    <w:rsid w:val="008B46F6"/>
    <w:rsid w:val="008C117C"/>
    <w:rsid w:val="008D217D"/>
    <w:rsid w:val="008D21C7"/>
    <w:rsid w:val="008F2B30"/>
    <w:rsid w:val="008F3086"/>
    <w:rsid w:val="008F405B"/>
    <w:rsid w:val="008F5950"/>
    <w:rsid w:val="009075CB"/>
    <w:rsid w:val="0091041E"/>
    <w:rsid w:val="0091298F"/>
    <w:rsid w:val="00930921"/>
    <w:rsid w:val="00931340"/>
    <w:rsid w:val="00950925"/>
    <w:rsid w:val="00964A38"/>
    <w:rsid w:val="009676D6"/>
    <w:rsid w:val="0097729E"/>
    <w:rsid w:val="0098709C"/>
    <w:rsid w:val="0099280C"/>
    <w:rsid w:val="009A014E"/>
    <w:rsid w:val="009A3923"/>
    <w:rsid w:val="009A75AD"/>
    <w:rsid w:val="009B3F5A"/>
    <w:rsid w:val="009C1624"/>
    <w:rsid w:val="009D290B"/>
    <w:rsid w:val="009D3E5C"/>
    <w:rsid w:val="009D691F"/>
    <w:rsid w:val="009E0D6C"/>
    <w:rsid w:val="009E10D4"/>
    <w:rsid w:val="009E42E5"/>
    <w:rsid w:val="009F6ED3"/>
    <w:rsid w:val="00A0056A"/>
    <w:rsid w:val="00A12156"/>
    <w:rsid w:val="00A12EEF"/>
    <w:rsid w:val="00A13E00"/>
    <w:rsid w:val="00A20F24"/>
    <w:rsid w:val="00A22FAA"/>
    <w:rsid w:val="00A2496C"/>
    <w:rsid w:val="00A367AA"/>
    <w:rsid w:val="00A41BF4"/>
    <w:rsid w:val="00A44031"/>
    <w:rsid w:val="00A44076"/>
    <w:rsid w:val="00A46466"/>
    <w:rsid w:val="00A50886"/>
    <w:rsid w:val="00A53C50"/>
    <w:rsid w:val="00A62A0B"/>
    <w:rsid w:val="00A62B28"/>
    <w:rsid w:val="00A70D7E"/>
    <w:rsid w:val="00A71952"/>
    <w:rsid w:val="00A74B95"/>
    <w:rsid w:val="00A758D5"/>
    <w:rsid w:val="00A760F5"/>
    <w:rsid w:val="00A86158"/>
    <w:rsid w:val="00A9137A"/>
    <w:rsid w:val="00A91BD9"/>
    <w:rsid w:val="00A92F61"/>
    <w:rsid w:val="00A97755"/>
    <w:rsid w:val="00AA0B1E"/>
    <w:rsid w:val="00AA349B"/>
    <w:rsid w:val="00AA77F3"/>
    <w:rsid w:val="00AC17CE"/>
    <w:rsid w:val="00AE5173"/>
    <w:rsid w:val="00AE58CA"/>
    <w:rsid w:val="00AE74F0"/>
    <w:rsid w:val="00B01966"/>
    <w:rsid w:val="00B034DD"/>
    <w:rsid w:val="00B056B8"/>
    <w:rsid w:val="00B05D63"/>
    <w:rsid w:val="00B24B21"/>
    <w:rsid w:val="00B26467"/>
    <w:rsid w:val="00B303E6"/>
    <w:rsid w:val="00B37E97"/>
    <w:rsid w:val="00B61D71"/>
    <w:rsid w:val="00B7739C"/>
    <w:rsid w:val="00B84DD7"/>
    <w:rsid w:val="00B85FED"/>
    <w:rsid w:val="00B92443"/>
    <w:rsid w:val="00B9272D"/>
    <w:rsid w:val="00B95507"/>
    <w:rsid w:val="00B958F0"/>
    <w:rsid w:val="00BB31A5"/>
    <w:rsid w:val="00BB3332"/>
    <w:rsid w:val="00BB4B39"/>
    <w:rsid w:val="00BC382C"/>
    <w:rsid w:val="00BD56E9"/>
    <w:rsid w:val="00BE1EA2"/>
    <w:rsid w:val="00BE362A"/>
    <w:rsid w:val="00BF74F5"/>
    <w:rsid w:val="00C0046B"/>
    <w:rsid w:val="00C0660D"/>
    <w:rsid w:val="00C15E6B"/>
    <w:rsid w:val="00C20327"/>
    <w:rsid w:val="00C20C78"/>
    <w:rsid w:val="00C24596"/>
    <w:rsid w:val="00C2772D"/>
    <w:rsid w:val="00C27E72"/>
    <w:rsid w:val="00C42730"/>
    <w:rsid w:val="00C43708"/>
    <w:rsid w:val="00C477DF"/>
    <w:rsid w:val="00C53E94"/>
    <w:rsid w:val="00C5642C"/>
    <w:rsid w:val="00C6358C"/>
    <w:rsid w:val="00C67329"/>
    <w:rsid w:val="00C74378"/>
    <w:rsid w:val="00C76BD6"/>
    <w:rsid w:val="00C80209"/>
    <w:rsid w:val="00C81A7D"/>
    <w:rsid w:val="00C83ED3"/>
    <w:rsid w:val="00C8626C"/>
    <w:rsid w:val="00C920AD"/>
    <w:rsid w:val="00CA46F2"/>
    <w:rsid w:val="00CB097B"/>
    <w:rsid w:val="00CB11DE"/>
    <w:rsid w:val="00CB2293"/>
    <w:rsid w:val="00CC14EC"/>
    <w:rsid w:val="00CD5B54"/>
    <w:rsid w:val="00CD636C"/>
    <w:rsid w:val="00CD65A2"/>
    <w:rsid w:val="00CF20FB"/>
    <w:rsid w:val="00D01897"/>
    <w:rsid w:val="00D03549"/>
    <w:rsid w:val="00D05340"/>
    <w:rsid w:val="00D12490"/>
    <w:rsid w:val="00D135CB"/>
    <w:rsid w:val="00D233A4"/>
    <w:rsid w:val="00D24948"/>
    <w:rsid w:val="00D27826"/>
    <w:rsid w:val="00D30408"/>
    <w:rsid w:val="00D328C0"/>
    <w:rsid w:val="00D36125"/>
    <w:rsid w:val="00D404E5"/>
    <w:rsid w:val="00D43366"/>
    <w:rsid w:val="00D4730E"/>
    <w:rsid w:val="00D53CAE"/>
    <w:rsid w:val="00D55588"/>
    <w:rsid w:val="00D5568D"/>
    <w:rsid w:val="00D556BF"/>
    <w:rsid w:val="00D5615B"/>
    <w:rsid w:val="00D6337C"/>
    <w:rsid w:val="00D669A0"/>
    <w:rsid w:val="00D71C56"/>
    <w:rsid w:val="00D732DC"/>
    <w:rsid w:val="00D73771"/>
    <w:rsid w:val="00D76BCD"/>
    <w:rsid w:val="00D809D6"/>
    <w:rsid w:val="00D81E9D"/>
    <w:rsid w:val="00D82E53"/>
    <w:rsid w:val="00D8724C"/>
    <w:rsid w:val="00D93BF0"/>
    <w:rsid w:val="00D96A03"/>
    <w:rsid w:val="00DB06D1"/>
    <w:rsid w:val="00DB3618"/>
    <w:rsid w:val="00DB74E4"/>
    <w:rsid w:val="00DD02BC"/>
    <w:rsid w:val="00DD5D4A"/>
    <w:rsid w:val="00DE0445"/>
    <w:rsid w:val="00DE153D"/>
    <w:rsid w:val="00E005A6"/>
    <w:rsid w:val="00E0495B"/>
    <w:rsid w:val="00E04977"/>
    <w:rsid w:val="00E21CCC"/>
    <w:rsid w:val="00E30C0F"/>
    <w:rsid w:val="00E41F42"/>
    <w:rsid w:val="00E5739E"/>
    <w:rsid w:val="00E717CB"/>
    <w:rsid w:val="00E7230D"/>
    <w:rsid w:val="00E74380"/>
    <w:rsid w:val="00E86E01"/>
    <w:rsid w:val="00E94DC3"/>
    <w:rsid w:val="00E97166"/>
    <w:rsid w:val="00EB0C62"/>
    <w:rsid w:val="00EB0C6B"/>
    <w:rsid w:val="00EC6BAF"/>
    <w:rsid w:val="00ED1A73"/>
    <w:rsid w:val="00EE0428"/>
    <w:rsid w:val="00EF1126"/>
    <w:rsid w:val="00EF1E2B"/>
    <w:rsid w:val="00F04474"/>
    <w:rsid w:val="00F06ACA"/>
    <w:rsid w:val="00F10FE6"/>
    <w:rsid w:val="00F328F0"/>
    <w:rsid w:val="00F34691"/>
    <w:rsid w:val="00F425ED"/>
    <w:rsid w:val="00F45323"/>
    <w:rsid w:val="00F46A61"/>
    <w:rsid w:val="00F50D6E"/>
    <w:rsid w:val="00F54B06"/>
    <w:rsid w:val="00F60279"/>
    <w:rsid w:val="00F61319"/>
    <w:rsid w:val="00F66B73"/>
    <w:rsid w:val="00F6720D"/>
    <w:rsid w:val="00F7373F"/>
    <w:rsid w:val="00F7643F"/>
    <w:rsid w:val="00F85F39"/>
    <w:rsid w:val="00F94358"/>
    <w:rsid w:val="00F94A7F"/>
    <w:rsid w:val="00FA2A0D"/>
    <w:rsid w:val="00FA5095"/>
    <w:rsid w:val="00FB2906"/>
    <w:rsid w:val="00FB3397"/>
    <w:rsid w:val="00FB3BFB"/>
    <w:rsid w:val="00FB4487"/>
    <w:rsid w:val="00FC67B6"/>
    <w:rsid w:val="00FD3AD2"/>
    <w:rsid w:val="00FE09A1"/>
    <w:rsid w:val="00FE2B64"/>
    <w:rsid w:val="00FE3C7C"/>
    <w:rsid w:val="00FF16FB"/>
    <w:rsid w:val="00FF53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FDD74"/>
  <w15:chartTrackingRefBased/>
  <w15:docId w15:val="{6B3270CA-4670-4F28-A86D-8AA7AD5D0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43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43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143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43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43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43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43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43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43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3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43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143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43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43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43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43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43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435D"/>
    <w:rPr>
      <w:rFonts w:eastAsiaTheme="majorEastAsia" w:cstheme="majorBidi"/>
      <w:color w:val="272727" w:themeColor="text1" w:themeTint="D8"/>
    </w:rPr>
  </w:style>
  <w:style w:type="paragraph" w:styleId="Title">
    <w:name w:val="Title"/>
    <w:basedOn w:val="Normal"/>
    <w:next w:val="Normal"/>
    <w:link w:val="TitleChar"/>
    <w:uiPriority w:val="10"/>
    <w:qFormat/>
    <w:rsid w:val="004143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43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43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43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435D"/>
    <w:pPr>
      <w:spacing w:before="160"/>
      <w:jc w:val="center"/>
    </w:pPr>
    <w:rPr>
      <w:i/>
      <w:iCs/>
      <w:color w:val="404040" w:themeColor="text1" w:themeTint="BF"/>
    </w:rPr>
  </w:style>
  <w:style w:type="character" w:customStyle="1" w:styleId="QuoteChar">
    <w:name w:val="Quote Char"/>
    <w:basedOn w:val="DefaultParagraphFont"/>
    <w:link w:val="Quote"/>
    <w:uiPriority w:val="29"/>
    <w:rsid w:val="0041435D"/>
    <w:rPr>
      <w:i/>
      <w:iCs/>
      <w:color w:val="404040" w:themeColor="text1" w:themeTint="BF"/>
    </w:rPr>
  </w:style>
  <w:style w:type="paragraph" w:styleId="ListParagraph">
    <w:name w:val="List Paragraph"/>
    <w:basedOn w:val="Normal"/>
    <w:uiPriority w:val="34"/>
    <w:qFormat/>
    <w:rsid w:val="0041435D"/>
    <w:pPr>
      <w:ind w:left="720"/>
      <w:contextualSpacing/>
    </w:pPr>
  </w:style>
  <w:style w:type="character" w:styleId="IntenseEmphasis">
    <w:name w:val="Intense Emphasis"/>
    <w:basedOn w:val="DefaultParagraphFont"/>
    <w:uiPriority w:val="21"/>
    <w:qFormat/>
    <w:rsid w:val="0041435D"/>
    <w:rPr>
      <w:i/>
      <w:iCs/>
      <w:color w:val="0F4761" w:themeColor="accent1" w:themeShade="BF"/>
    </w:rPr>
  </w:style>
  <w:style w:type="paragraph" w:styleId="IntenseQuote">
    <w:name w:val="Intense Quote"/>
    <w:basedOn w:val="Normal"/>
    <w:next w:val="Normal"/>
    <w:link w:val="IntenseQuoteChar"/>
    <w:uiPriority w:val="30"/>
    <w:qFormat/>
    <w:rsid w:val="004143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435D"/>
    <w:rPr>
      <w:i/>
      <w:iCs/>
      <w:color w:val="0F4761" w:themeColor="accent1" w:themeShade="BF"/>
    </w:rPr>
  </w:style>
  <w:style w:type="character" w:styleId="IntenseReference">
    <w:name w:val="Intense Reference"/>
    <w:basedOn w:val="DefaultParagraphFont"/>
    <w:uiPriority w:val="32"/>
    <w:qFormat/>
    <w:rsid w:val="0041435D"/>
    <w:rPr>
      <w:b/>
      <w:bCs/>
      <w:smallCaps/>
      <w:color w:val="0F4761" w:themeColor="accent1" w:themeShade="BF"/>
      <w:spacing w:val="5"/>
    </w:rPr>
  </w:style>
  <w:style w:type="paragraph" w:styleId="NormalWeb">
    <w:name w:val="Normal (Web)"/>
    <w:basedOn w:val="Normal"/>
    <w:uiPriority w:val="99"/>
    <w:semiHidden/>
    <w:unhideWhenUsed/>
    <w:rsid w:val="0041435D"/>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styleId="Strong">
    <w:name w:val="Strong"/>
    <w:basedOn w:val="DefaultParagraphFont"/>
    <w:uiPriority w:val="22"/>
    <w:qFormat/>
    <w:rsid w:val="0041435D"/>
    <w:rPr>
      <w:b/>
      <w:bCs/>
    </w:rPr>
  </w:style>
  <w:style w:type="character" w:styleId="Hyperlink">
    <w:name w:val="Hyperlink"/>
    <w:basedOn w:val="DefaultParagraphFont"/>
    <w:uiPriority w:val="99"/>
    <w:unhideWhenUsed/>
    <w:rsid w:val="00F46A61"/>
    <w:rPr>
      <w:color w:val="467886" w:themeColor="hyperlink"/>
      <w:u w:val="single"/>
    </w:rPr>
  </w:style>
  <w:style w:type="character" w:styleId="UnresolvedMention">
    <w:name w:val="Unresolved Mention"/>
    <w:basedOn w:val="DefaultParagraphFont"/>
    <w:uiPriority w:val="99"/>
    <w:semiHidden/>
    <w:unhideWhenUsed/>
    <w:rsid w:val="00F46A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7661">
      <w:bodyDiv w:val="1"/>
      <w:marLeft w:val="0"/>
      <w:marRight w:val="0"/>
      <w:marTop w:val="0"/>
      <w:marBottom w:val="0"/>
      <w:divBdr>
        <w:top w:val="none" w:sz="0" w:space="0" w:color="auto"/>
        <w:left w:val="none" w:sz="0" w:space="0" w:color="auto"/>
        <w:bottom w:val="none" w:sz="0" w:space="0" w:color="auto"/>
        <w:right w:val="none" w:sz="0" w:space="0" w:color="auto"/>
      </w:divBdr>
    </w:div>
    <w:div w:id="293754304">
      <w:bodyDiv w:val="1"/>
      <w:marLeft w:val="0"/>
      <w:marRight w:val="0"/>
      <w:marTop w:val="0"/>
      <w:marBottom w:val="0"/>
      <w:divBdr>
        <w:top w:val="none" w:sz="0" w:space="0" w:color="auto"/>
        <w:left w:val="none" w:sz="0" w:space="0" w:color="auto"/>
        <w:bottom w:val="none" w:sz="0" w:space="0" w:color="auto"/>
        <w:right w:val="none" w:sz="0" w:space="0" w:color="auto"/>
      </w:divBdr>
    </w:div>
    <w:div w:id="559292587">
      <w:bodyDiv w:val="1"/>
      <w:marLeft w:val="0"/>
      <w:marRight w:val="0"/>
      <w:marTop w:val="0"/>
      <w:marBottom w:val="0"/>
      <w:divBdr>
        <w:top w:val="none" w:sz="0" w:space="0" w:color="auto"/>
        <w:left w:val="none" w:sz="0" w:space="0" w:color="auto"/>
        <w:bottom w:val="none" w:sz="0" w:space="0" w:color="auto"/>
        <w:right w:val="none" w:sz="0" w:space="0" w:color="auto"/>
      </w:divBdr>
    </w:div>
    <w:div w:id="583033314">
      <w:bodyDiv w:val="1"/>
      <w:marLeft w:val="0"/>
      <w:marRight w:val="0"/>
      <w:marTop w:val="0"/>
      <w:marBottom w:val="0"/>
      <w:divBdr>
        <w:top w:val="none" w:sz="0" w:space="0" w:color="auto"/>
        <w:left w:val="none" w:sz="0" w:space="0" w:color="auto"/>
        <w:bottom w:val="none" w:sz="0" w:space="0" w:color="auto"/>
        <w:right w:val="none" w:sz="0" w:space="0" w:color="auto"/>
      </w:divBdr>
    </w:div>
    <w:div w:id="600768743">
      <w:bodyDiv w:val="1"/>
      <w:marLeft w:val="0"/>
      <w:marRight w:val="0"/>
      <w:marTop w:val="0"/>
      <w:marBottom w:val="0"/>
      <w:divBdr>
        <w:top w:val="none" w:sz="0" w:space="0" w:color="auto"/>
        <w:left w:val="none" w:sz="0" w:space="0" w:color="auto"/>
        <w:bottom w:val="none" w:sz="0" w:space="0" w:color="auto"/>
        <w:right w:val="none" w:sz="0" w:space="0" w:color="auto"/>
      </w:divBdr>
    </w:div>
    <w:div w:id="910391217">
      <w:bodyDiv w:val="1"/>
      <w:marLeft w:val="0"/>
      <w:marRight w:val="0"/>
      <w:marTop w:val="0"/>
      <w:marBottom w:val="0"/>
      <w:divBdr>
        <w:top w:val="none" w:sz="0" w:space="0" w:color="auto"/>
        <w:left w:val="none" w:sz="0" w:space="0" w:color="auto"/>
        <w:bottom w:val="none" w:sz="0" w:space="0" w:color="auto"/>
        <w:right w:val="none" w:sz="0" w:space="0" w:color="auto"/>
      </w:divBdr>
    </w:div>
    <w:div w:id="930049318">
      <w:bodyDiv w:val="1"/>
      <w:marLeft w:val="0"/>
      <w:marRight w:val="0"/>
      <w:marTop w:val="0"/>
      <w:marBottom w:val="0"/>
      <w:divBdr>
        <w:top w:val="none" w:sz="0" w:space="0" w:color="auto"/>
        <w:left w:val="none" w:sz="0" w:space="0" w:color="auto"/>
        <w:bottom w:val="none" w:sz="0" w:space="0" w:color="auto"/>
        <w:right w:val="none" w:sz="0" w:space="0" w:color="auto"/>
      </w:divBdr>
    </w:div>
    <w:div w:id="985478486">
      <w:bodyDiv w:val="1"/>
      <w:marLeft w:val="0"/>
      <w:marRight w:val="0"/>
      <w:marTop w:val="0"/>
      <w:marBottom w:val="0"/>
      <w:divBdr>
        <w:top w:val="none" w:sz="0" w:space="0" w:color="auto"/>
        <w:left w:val="none" w:sz="0" w:space="0" w:color="auto"/>
        <w:bottom w:val="none" w:sz="0" w:space="0" w:color="auto"/>
        <w:right w:val="none" w:sz="0" w:space="0" w:color="auto"/>
      </w:divBdr>
    </w:div>
    <w:div w:id="1239749616">
      <w:bodyDiv w:val="1"/>
      <w:marLeft w:val="0"/>
      <w:marRight w:val="0"/>
      <w:marTop w:val="0"/>
      <w:marBottom w:val="0"/>
      <w:divBdr>
        <w:top w:val="none" w:sz="0" w:space="0" w:color="auto"/>
        <w:left w:val="none" w:sz="0" w:space="0" w:color="auto"/>
        <w:bottom w:val="none" w:sz="0" w:space="0" w:color="auto"/>
        <w:right w:val="none" w:sz="0" w:space="0" w:color="auto"/>
      </w:divBdr>
    </w:div>
    <w:div w:id="1289554725">
      <w:bodyDiv w:val="1"/>
      <w:marLeft w:val="0"/>
      <w:marRight w:val="0"/>
      <w:marTop w:val="0"/>
      <w:marBottom w:val="0"/>
      <w:divBdr>
        <w:top w:val="none" w:sz="0" w:space="0" w:color="auto"/>
        <w:left w:val="none" w:sz="0" w:space="0" w:color="auto"/>
        <w:bottom w:val="none" w:sz="0" w:space="0" w:color="auto"/>
        <w:right w:val="none" w:sz="0" w:space="0" w:color="auto"/>
      </w:divBdr>
    </w:div>
    <w:div w:id="1297177757">
      <w:bodyDiv w:val="1"/>
      <w:marLeft w:val="0"/>
      <w:marRight w:val="0"/>
      <w:marTop w:val="0"/>
      <w:marBottom w:val="0"/>
      <w:divBdr>
        <w:top w:val="none" w:sz="0" w:space="0" w:color="auto"/>
        <w:left w:val="none" w:sz="0" w:space="0" w:color="auto"/>
        <w:bottom w:val="none" w:sz="0" w:space="0" w:color="auto"/>
        <w:right w:val="none" w:sz="0" w:space="0" w:color="auto"/>
      </w:divBdr>
    </w:div>
    <w:div w:id="1430272602">
      <w:bodyDiv w:val="1"/>
      <w:marLeft w:val="0"/>
      <w:marRight w:val="0"/>
      <w:marTop w:val="0"/>
      <w:marBottom w:val="0"/>
      <w:divBdr>
        <w:top w:val="none" w:sz="0" w:space="0" w:color="auto"/>
        <w:left w:val="none" w:sz="0" w:space="0" w:color="auto"/>
        <w:bottom w:val="none" w:sz="0" w:space="0" w:color="auto"/>
        <w:right w:val="none" w:sz="0" w:space="0" w:color="auto"/>
      </w:divBdr>
    </w:div>
    <w:div w:id="1448741422">
      <w:bodyDiv w:val="1"/>
      <w:marLeft w:val="0"/>
      <w:marRight w:val="0"/>
      <w:marTop w:val="0"/>
      <w:marBottom w:val="0"/>
      <w:divBdr>
        <w:top w:val="none" w:sz="0" w:space="0" w:color="auto"/>
        <w:left w:val="none" w:sz="0" w:space="0" w:color="auto"/>
        <w:bottom w:val="none" w:sz="0" w:space="0" w:color="auto"/>
        <w:right w:val="none" w:sz="0" w:space="0" w:color="auto"/>
      </w:divBdr>
    </w:div>
    <w:div w:id="1452894863">
      <w:bodyDiv w:val="1"/>
      <w:marLeft w:val="0"/>
      <w:marRight w:val="0"/>
      <w:marTop w:val="0"/>
      <w:marBottom w:val="0"/>
      <w:divBdr>
        <w:top w:val="none" w:sz="0" w:space="0" w:color="auto"/>
        <w:left w:val="none" w:sz="0" w:space="0" w:color="auto"/>
        <w:bottom w:val="none" w:sz="0" w:space="0" w:color="auto"/>
        <w:right w:val="none" w:sz="0" w:space="0" w:color="auto"/>
      </w:divBdr>
    </w:div>
    <w:div w:id="1665551391">
      <w:bodyDiv w:val="1"/>
      <w:marLeft w:val="0"/>
      <w:marRight w:val="0"/>
      <w:marTop w:val="0"/>
      <w:marBottom w:val="0"/>
      <w:divBdr>
        <w:top w:val="none" w:sz="0" w:space="0" w:color="auto"/>
        <w:left w:val="none" w:sz="0" w:space="0" w:color="auto"/>
        <w:bottom w:val="none" w:sz="0" w:space="0" w:color="auto"/>
        <w:right w:val="none" w:sz="0" w:space="0" w:color="auto"/>
      </w:divBdr>
    </w:div>
    <w:div w:id="1693263401">
      <w:bodyDiv w:val="1"/>
      <w:marLeft w:val="0"/>
      <w:marRight w:val="0"/>
      <w:marTop w:val="0"/>
      <w:marBottom w:val="0"/>
      <w:divBdr>
        <w:top w:val="none" w:sz="0" w:space="0" w:color="auto"/>
        <w:left w:val="none" w:sz="0" w:space="0" w:color="auto"/>
        <w:bottom w:val="none" w:sz="0" w:space="0" w:color="auto"/>
        <w:right w:val="none" w:sz="0" w:space="0" w:color="auto"/>
      </w:divBdr>
      <w:divsChild>
        <w:div w:id="975642518">
          <w:marLeft w:val="0"/>
          <w:marRight w:val="0"/>
          <w:marTop w:val="0"/>
          <w:marBottom w:val="0"/>
          <w:divBdr>
            <w:top w:val="none" w:sz="0" w:space="0" w:color="auto"/>
            <w:left w:val="none" w:sz="0" w:space="0" w:color="auto"/>
            <w:bottom w:val="none" w:sz="0" w:space="0" w:color="auto"/>
            <w:right w:val="none" w:sz="0" w:space="0" w:color="auto"/>
          </w:divBdr>
          <w:divsChild>
            <w:div w:id="1976138448">
              <w:marLeft w:val="0"/>
              <w:marRight w:val="0"/>
              <w:marTop w:val="0"/>
              <w:marBottom w:val="0"/>
              <w:divBdr>
                <w:top w:val="none" w:sz="0" w:space="0" w:color="auto"/>
                <w:left w:val="none" w:sz="0" w:space="0" w:color="auto"/>
                <w:bottom w:val="none" w:sz="0" w:space="0" w:color="auto"/>
                <w:right w:val="none" w:sz="0" w:space="0" w:color="auto"/>
              </w:divBdr>
              <w:divsChild>
                <w:div w:id="2115395046">
                  <w:marLeft w:val="0"/>
                  <w:marRight w:val="0"/>
                  <w:marTop w:val="0"/>
                  <w:marBottom w:val="0"/>
                  <w:divBdr>
                    <w:top w:val="none" w:sz="0" w:space="0" w:color="auto"/>
                    <w:left w:val="none" w:sz="0" w:space="0" w:color="auto"/>
                    <w:bottom w:val="none" w:sz="0" w:space="0" w:color="auto"/>
                    <w:right w:val="none" w:sz="0" w:space="0" w:color="auto"/>
                  </w:divBdr>
                  <w:divsChild>
                    <w:div w:id="974023637">
                      <w:marLeft w:val="0"/>
                      <w:marRight w:val="0"/>
                      <w:marTop w:val="0"/>
                      <w:marBottom w:val="0"/>
                      <w:divBdr>
                        <w:top w:val="none" w:sz="0" w:space="0" w:color="auto"/>
                        <w:left w:val="none" w:sz="0" w:space="0" w:color="auto"/>
                        <w:bottom w:val="none" w:sz="0" w:space="0" w:color="auto"/>
                        <w:right w:val="none" w:sz="0" w:space="0" w:color="auto"/>
                      </w:divBdr>
                      <w:divsChild>
                        <w:div w:id="2118989012">
                          <w:marLeft w:val="0"/>
                          <w:marRight w:val="0"/>
                          <w:marTop w:val="0"/>
                          <w:marBottom w:val="0"/>
                          <w:divBdr>
                            <w:top w:val="none" w:sz="0" w:space="0" w:color="auto"/>
                            <w:left w:val="none" w:sz="0" w:space="0" w:color="auto"/>
                            <w:bottom w:val="none" w:sz="0" w:space="0" w:color="auto"/>
                            <w:right w:val="none" w:sz="0" w:space="0" w:color="auto"/>
                          </w:divBdr>
                          <w:divsChild>
                            <w:div w:id="1066608172">
                              <w:marLeft w:val="0"/>
                              <w:marRight w:val="0"/>
                              <w:marTop w:val="0"/>
                              <w:marBottom w:val="0"/>
                              <w:divBdr>
                                <w:top w:val="none" w:sz="0" w:space="0" w:color="auto"/>
                                <w:left w:val="none" w:sz="0" w:space="0" w:color="auto"/>
                                <w:bottom w:val="none" w:sz="0" w:space="0" w:color="auto"/>
                                <w:right w:val="none" w:sz="0" w:space="0" w:color="auto"/>
                              </w:divBdr>
                              <w:divsChild>
                                <w:div w:id="1901019219">
                                  <w:marLeft w:val="0"/>
                                  <w:marRight w:val="0"/>
                                  <w:marTop w:val="0"/>
                                  <w:marBottom w:val="0"/>
                                  <w:divBdr>
                                    <w:top w:val="none" w:sz="0" w:space="0" w:color="auto"/>
                                    <w:left w:val="none" w:sz="0" w:space="0" w:color="auto"/>
                                    <w:bottom w:val="none" w:sz="0" w:space="0" w:color="auto"/>
                                    <w:right w:val="none" w:sz="0" w:space="0" w:color="auto"/>
                                  </w:divBdr>
                                  <w:divsChild>
                                    <w:div w:id="313023517">
                                      <w:marLeft w:val="0"/>
                                      <w:marRight w:val="0"/>
                                      <w:marTop w:val="0"/>
                                      <w:marBottom w:val="0"/>
                                      <w:divBdr>
                                        <w:top w:val="none" w:sz="0" w:space="0" w:color="auto"/>
                                        <w:left w:val="none" w:sz="0" w:space="0" w:color="auto"/>
                                        <w:bottom w:val="none" w:sz="0" w:space="0" w:color="auto"/>
                                        <w:right w:val="none" w:sz="0" w:space="0" w:color="auto"/>
                                      </w:divBdr>
                                      <w:divsChild>
                                        <w:div w:id="1724257489">
                                          <w:marLeft w:val="0"/>
                                          <w:marRight w:val="0"/>
                                          <w:marTop w:val="0"/>
                                          <w:marBottom w:val="0"/>
                                          <w:divBdr>
                                            <w:top w:val="none" w:sz="0" w:space="0" w:color="auto"/>
                                            <w:left w:val="none" w:sz="0" w:space="0" w:color="auto"/>
                                            <w:bottom w:val="none" w:sz="0" w:space="0" w:color="auto"/>
                                            <w:right w:val="none" w:sz="0" w:space="0" w:color="auto"/>
                                          </w:divBdr>
                                          <w:divsChild>
                                            <w:div w:id="1483891778">
                                              <w:marLeft w:val="0"/>
                                              <w:marRight w:val="0"/>
                                              <w:marTop w:val="0"/>
                                              <w:marBottom w:val="0"/>
                                              <w:divBdr>
                                                <w:top w:val="none" w:sz="0" w:space="0" w:color="auto"/>
                                                <w:left w:val="none" w:sz="0" w:space="0" w:color="auto"/>
                                                <w:bottom w:val="none" w:sz="0" w:space="0" w:color="auto"/>
                                                <w:right w:val="none" w:sz="0" w:space="0" w:color="auto"/>
                                              </w:divBdr>
                                              <w:divsChild>
                                                <w:div w:id="102111351">
                                                  <w:marLeft w:val="0"/>
                                                  <w:marRight w:val="0"/>
                                                  <w:marTop w:val="0"/>
                                                  <w:marBottom w:val="0"/>
                                                  <w:divBdr>
                                                    <w:top w:val="none" w:sz="0" w:space="0" w:color="auto"/>
                                                    <w:left w:val="none" w:sz="0" w:space="0" w:color="auto"/>
                                                    <w:bottom w:val="none" w:sz="0" w:space="0" w:color="auto"/>
                                                    <w:right w:val="none" w:sz="0" w:space="0" w:color="auto"/>
                                                  </w:divBdr>
                                                </w:div>
                                                <w:div w:id="1413896360">
                                                  <w:marLeft w:val="0"/>
                                                  <w:marRight w:val="0"/>
                                                  <w:marTop w:val="0"/>
                                                  <w:marBottom w:val="0"/>
                                                  <w:divBdr>
                                                    <w:top w:val="none" w:sz="0" w:space="0" w:color="auto"/>
                                                    <w:left w:val="none" w:sz="0" w:space="0" w:color="auto"/>
                                                    <w:bottom w:val="none" w:sz="0" w:space="0" w:color="auto"/>
                                                    <w:right w:val="none" w:sz="0" w:space="0" w:color="auto"/>
                                                  </w:divBdr>
                                                  <w:divsChild>
                                                    <w:div w:id="1136606470">
                                                      <w:marLeft w:val="0"/>
                                                      <w:marRight w:val="0"/>
                                                      <w:marTop w:val="0"/>
                                                      <w:marBottom w:val="0"/>
                                                      <w:divBdr>
                                                        <w:top w:val="none" w:sz="0" w:space="0" w:color="auto"/>
                                                        <w:left w:val="none" w:sz="0" w:space="0" w:color="auto"/>
                                                        <w:bottom w:val="none" w:sz="0" w:space="0" w:color="auto"/>
                                                        <w:right w:val="none" w:sz="0" w:space="0" w:color="auto"/>
                                                      </w:divBdr>
                                                      <w:divsChild>
                                                        <w:div w:id="247158094">
                                                          <w:marLeft w:val="0"/>
                                                          <w:marRight w:val="0"/>
                                                          <w:marTop w:val="0"/>
                                                          <w:marBottom w:val="0"/>
                                                          <w:divBdr>
                                                            <w:top w:val="none" w:sz="0" w:space="0" w:color="auto"/>
                                                            <w:left w:val="none" w:sz="0" w:space="0" w:color="auto"/>
                                                            <w:bottom w:val="none" w:sz="0" w:space="0" w:color="auto"/>
                                                            <w:right w:val="none" w:sz="0" w:space="0" w:color="auto"/>
                                                          </w:divBdr>
                                                        </w:div>
                                                      </w:divsChild>
                                                    </w:div>
                                                    <w:div w:id="43491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6187834">
          <w:marLeft w:val="0"/>
          <w:marRight w:val="0"/>
          <w:marTop w:val="0"/>
          <w:marBottom w:val="0"/>
          <w:divBdr>
            <w:top w:val="none" w:sz="0" w:space="0" w:color="auto"/>
            <w:left w:val="none" w:sz="0" w:space="0" w:color="auto"/>
            <w:bottom w:val="none" w:sz="0" w:space="0" w:color="auto"/>
            <w:right w:val="none" w:sz="0" w:space="0" w:color="auto"/>
          </w:divBdr>
          <w:divsChild>
            <w:div w:id="1780417614">
              <w:marLeft w:val="0"/>
              <w:marRight w:val="0"/>
              <w:marTop w:val="0"/>
              <w:marBottom w:val="0"/>
              <w:divBdr>
                <w:top w:val="none" w:sz="0" w:space="0" w:color="auto"/>
                <w:left w:val="none" w:sz="0" w:space="0" w:color="auto"/>
                <w:bottom w:val="none" w:sz="0" w:space="0" w:color="auto"/>
                <w:right w:val="none" w:sz="0" w:space="0" w:color="auto"/>
              </w:divBdr>
              <w:divsChild>
                <w:div w:id="1794254083">
                  <w:marLeft w:val="0"/>
                  <w:marRight w:val="0"/>
                  <w:marTop w:val="0"/>
                  <w:marBottom w:val="0"/>
                  <w:divBdr>
                    <w:top w:val="none" w:sz="0" w:space="0" w:color="auto"/>
                    <w:left w:val="none" w:sz="0" w:space="0" w:color="auto"/>
                    <w:bottom w:val="none" w:sz="0" w:space="0" w:color="auto"/>
                    <w:right w:val="none" w:sz="0" w:space="0" w:color="auto"/>
                  </w:divBdr>
                  <w:divsChild>
                    <w:div w:id="140282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265015">
      <w:bodyDiv w:val="1"/>
      <w:marLeft w:val="0"/>
      <w:marRight w:val="0"/>
      <w:marTop w:val="0"/>
      <w:marBottom w:val="0"/>
      <w:divBdr>
        <w:top w:val="none" w:sz="0" w:space="0" w:color="auto"/>
        <w:left w:val="none" w:sz="0" w:space="0" w:color="auto"/>
        <w:bottom w:val="none" w:sz="0" w:space="0" w:color="auto"/>
        <w:right w:val="none" w:sz="0" w:space="0" w:color="auto"/>
      </w:divBdr>
    </w:div>
    <w:div w:id="1940142896">
      <w:bodyDiv w:val="1"/>
      <w:marLeft w:val="0"/>
      <w:marRight w:val="0"/>
      <w:marTop w:val="0"/>
      <w:marBottom w:val="0"/>
      <w:divBdr>
        <w:top w:val="none" w:sz="0" w:space="0" w:color="auto"/>
        <w:left w:val="none" w:sz="0" w:space="0" w:color="auto"/>
        <w:bottom w:val="none" w:sz="0" w:space="0" w:color="auto"/>
        <w:right w:val="none" w:sz="0" w:space="0" w:color="auto"/>
      </w:divBdr>
      <w:divsChild>
        <w:div w:id="356657546">
          <w:marLeft w:val="0"/>
          <w:marRight w:val="0"/>
          <w:marTop w:val="0"/>
          <w:marBottom w:val="0"/>
          <w:divBdr>
            <w:top w:val="none" w:sz="0" w:space="0" w:color="auto"/>
            <w:left w:val="none" w:sz="0" w:space="0" w:color="auto"/>
            <w:bottom w:val="none" w:sz="0" w:space="0" w:color="auto"/>
            <w:right w:val="none" w:sz="0" w:space="0" w:color="auto"/>
          </w:divBdr>
          <w:divsChild>
            <w:div w:id="2015910919">
              <w:marLeft w:val="0"/>
              <w:marRight w:val="0"/>
              <w:marTop w:val="0"/>
              <w:marBottom w:val="0"/>
              <w:divBdr>
                <w:top w:val="none" w:sz="0" w:space="0" w:color="auto"/>
                <w:left w:val="none" w:sz="0" w:space="0" w:color="auto"/>
                <w:bottom w:val="none" w:sz="0" w:space="0" w:color="auto"/>
                <w:right w:val="none" w:sz="0" w:space="0" w:color="auto"/>
              </w:divBdr>
              <w:divsChild>
                <w:div w:id="743335122">
                  <w:marLeft w:val="0"/>
                  <w:marRight w:val="0"/>
                  <w:marTop w:val="0"/>
                  <w:marBottom w:val="0"/>
                  <w:divBdr>
                    <w:top w:val="none" w:sz="0" w:space="0" w:color="auto"/>
                    <w:left w:val="none" w:sz="0" w:space="0" w:color="auto"/>
                    <w:bottom w:val="none" w:sz="0" w:space="0" w:color="auto"/>
                    <w:right w:val="none" w:sz="0" w:space="0" w:color="auto"/>
                  </w:divBdr>
                  <w:divsChild>
                    <w:div w:id="1494298959">
                      <w:marLeft w:val="0"/>
                      <w:marRight w:val="0"/>
                      <w:marTop w:val="0"/>
                      <w:marBottom w:val="0"/>
                      <w:divBdr>
                        <w:top w:val="none" w:sz="0" w:space="0" w:color="auto"/>
                        <w:left w:val="none" w:sz="0" w:space="0" w:color="auto"/>
                        <w:bottom w:val="none" w:sz="0" w:space="0" w:color="auto"/>
                        <w:right w:val="none" w:sz="0" w:space="0" w:color="auto"/>
                      </w:divBdr>
                      <w:divsChild>
                        <w:div w:id="135417887">
                          <w:marLeft w:val="0"/>
                          <w:marRight w:val="0"/>
                          <w:marTop w:val="0"/>
                          <w:marBottom w:val="0"/>
                          <w:divBdr>
                            <w:top w:val="none" w:sz="0" w:space="0" w:color="auto"/>
                            <w:left w:val="none" w:sz="0" w:space="0" w:color="auto"/>
                            <w:bottom w:val="none" w:sz="0" w:space="0" w:color="auto"/>
                            <w:right w:val="none" w:sz="0" w:space="0" w:color="auto"/>
                          </w:divBdr>
                          <w:divsChild>
                            <w:div w:id="1195921310">
                              <w:marLeft w:val="0"/>
                              <w:marRight w:val="0"/>
                              <w:marTop w:val="0"/>
                              <w:marBottom w:val="0"/>
                              <w:divBdr>
                                <w:top w:val="none" w:sz="0" w:space="0" w:color="auto"/>
                                <w:left w:val="none" w:sz="0" w:space="0" w:color="auto"/>
                                <w:bottom w:val="none" w:sz="0" w:space="0" w:color="auto"/>
                                <w:right w:val="none" w:sz="0" w:space="0" w:color="auto"/>
                              </w:divBdr>
                              <w:divsChild>
                                <w:div w:id="316225305">
                                  <w:marLeft w:val="0"/>
                                  <w:marRight w:val="0"/>
                                  <w:marTop w:val="0"/>
                                  <w:marBottom w:val="0"/>
                                  <w:divBdr>
                                    <w:top w:val="none" w:sz="0" w:space="0" w:color="auto"/>
                                    <w:left w:val="none" w:sz="0" w:space="0" w:color="auto"/>
                                    <w:bottom w:val="none" w:sz="0" w:space="0" w:color="auto"/>
                                    <w:right w:val="none" w:sz="0" w:space="0" w:color="auto"/>
                                  </w:divBdr>
                                  <w:divsChild>
                                    <w:div w:id="880748454">
                                      <w:marLeft w:val="0"/>
                                      <w:marRight w:val="0"/>
                                      <w:marTop w:val="0"/>
                                      <w:marBottom w:val="0"/>
                                      <w:divBdr>
                                        <w:top w:val="none" w:sz="0" w:space="0" w:color="auto"/>
                                        <w:left w:val="none" w:sz="0" w:space="0" w:color="auto"/>
                                        <w:bottom w:val="none" w:sz="0" w:space="0" w:color="auto"/>
                                        <w:right w:val="none" w:sz="0" w:space="0" w:color="auto"/>
                                      </w:divBdr>
                                      <w:divsChild>
                                        <w:div w:id="1220826066">
                                          <w:marLeft w:val="0"/>
                                          <w:marRight w:val="0"/>
                                          <w:marTop w:val="0"/>
                                          <w:marBottom w:val="0"/>
                                          <w:divBdr>
                                            <w:top w:val="none" w:sz="0" w:space="0" w:color="auto"/>
                                            <w:left w:val="none" w:sz="0" w:space="0" w:color="auto"/>
                                            <w:bottom w:val="none" w:sz="0" w:space="0" w:color="auto"/>
                                            <w:right w:val="none" w:sz="0" w:space="0" w:color="auto"/>
                                          </w:divBdr>
                                          <w:divsChild>
                                            <w:div w:id="2055276500">
                                              <w:marLeft w:val="0"/>
                                              <w:marRight w:val="0"/>
                                              <w:marTop w:val="0"/>
                                              <w:marBottom w:val="0"/>
                                              <w:divBdr>
                                                <w:top w:val="none" w:sz="0" w:space="0" w:color="auto"/>
                                                <w:left w:val="none" w:sz="0" w:space="0" w:color="auto"/>
                                                <w:bottom w:val="none" w:sz="0" w:space="0" w:color="auto"/>
                                                <w:right w:val="none" w:sz="0" w:space="0" w:color="auto"/>
                                              </w:divBdr>
                                              <w:divsChild>
                                                <w:div w:id="1359550315">
                                                  <w:marLeft w:val="0"/>
                                                  <w:marRight w:val="0"/>
                                                  <w:marTop w:val="0"/>
                                                  <w:marBottom w:val="0"/>
                                                  <w:divBdr>
                                                    <w:top w:val="none" w:sz="0" w:space="0" w:color="auto"/>
                                                    <w:left w:val="none" w:sz="0" w:space="0" w:color="auto"/>
                                                    <w:bottom w:val="none" w:sz="0" w:space="0" w:color="auto"/>
                                                    <w:right w:val="none" w:sz="0" w:space="0" w:color="auto"/>
                                                  </w:divBdr>
                                                </w:div>
                                                <w:div w:id="121971464">
                                                  <w:marLeft w:val="0"/>
                                                  <w:marRight w:val="0"/>
                                                  <w:marTop w:val="0"/>
                                                  <w:marBottom w:val="0"/>
                                                  <w:divBdr>
                                                    <w:top w:val="none" w:sz="0" w:space="0" w:color="auto"/>
                                                    <w:left w:val="none" w:sz="0" w:space="0" w:color="auto"/>
                                                    <w:bottom w:val="none" w:sz="0" w:space="0" w:color="auto"/>
                                                    <w:right w:val="none" w:sz="0" w:space="0" w:color="auto"/>
                                                  </w:divBdr>
                                                  <w:divsChild>
                                                    <w:div w:id="468938400">
                                                      <w:marLeft w:val="0"/>
                                                      <w:marRight w:val="0"/>
                                                      <w:marTop w:val="0"/>
                                                      <w:marBottom w:val="0"/>
                                                      <w:divBdr>
                                                        <w:top w:val="none" w:sz="0" w:space="0" w:color="auto"/>
                                                        <w:left w:val="none" w:sz="0" w:space="0" w:color="auto"/>
                                                        <w:bottom w:val="none" w:sz="0" w:space="0" w:color="auto"/>
                                                        <w:right w:val="none" w:sz="0" w:space="0" w:color="auto"/>
                                                      </w:divBdr>
                                                      <w:divsChild>
                                                        <w:div w:id="2127920791">
                                                          <w:marLeft w:val="0"/>
                                                          <w:marRight w:val="0"/>
                                                          <w:marTop w:val="0"/>
                                                          <w:marBottom w:val="0"/>
                                                          <w:divBdr>
                                                            <w:top w:val="none" w:sz="0" w:space="0" w:color="auto"/>
                                                            <w:left w:val="none" w:sz="0" w:space="0" w:color="auto"/>
                                                            <w:bottom w:val="none" w:sz="0" w:space="0" w:color="auto"/>
                                                            <w:right w:val="none" w:sz="0" w:space="0" w:color="auto"/>
                                                          </w:divBdr>
                                                        </w:div>
                                                      </w:divsChild>
                                                    </w:div>
                                                    <w:div w:id="48944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5720923">
          <w:marLeft w:val="0"/>
          <w:marRight w:val="0"/>
          <w:marTop w:val="0"/>
          <w:marBottom w:val="0"/>
          <w:divBdr>
            <w:top w:val="none" w:sz="0" w:space="0" w:color="auto"/>
            <w:left w:val="none" w:sz="0" w:space="0" w:color="auto"/>
            <w:bottom w:val="none" w:sz="0" w:space="0" w:color="auto"/>
            <w:right w:val="none" w:sz="0" w:space="0" w:color="auto"/>
          </w:divBdr>
          <w:divsChild>
            <w:div w:id="610017303">
              <w:marLeft w:val="0"/>
              <w:marRight w:val="0"/>
              <w:marTop w:val="0"/>
              <w:marBottom w:val="0"/>
              <w:divBdr>
                <w:top w:val="none" w:sz="0" w:space="0" w:color="auto"/>
                <w:left w:val="none" w:sz="0" w:space="0" w:color="auto"/>
                <w:bottom w:val="none" w:sz="0" w:space="0" w:color="auto"/>
                <w:right w:val="none" w:sz="0" w:space="0" w:color="auto"/>
              </w:divBdr>
              <w:divsChild>
                <w:div w:id="1424767308">
                  <w:marLeft w:val="0"/>
                  <w:marRight w:val="0"/>
                  <w:marTop w:val="0"/>
                  <w:marBottom w:val="0"/>
                  <w:divBdr>
                    <w:top w:val="none" w:sz="0" w:space="0" w:color="auto"/>
                    <w:left w:val="none" w:sz="0" w:space="0" w:color="auto"/>
                    <w:bottom w:val="none" w:sz="0" w:space="0" w:color="auto"/>
                    <w:right w:val="none" w:sz="0" w:space="0" w:color="auto"/>
                  </w:divBdr>
                  <w:divsChild>
                    <w:div w:id="29387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566563">
      <w:bodyDiv w:val="1"/>
      <w:marLeft w:val="0"/>
      <w:marRight w:val="0"/>
      <w:marTop w:val="0"/>
      <w:marBottom w:val="0"/>
      <w:divBdr>
        <w:top w:val="none" w:sz="0" w:space="0" w:color="auto"/>
        <w:left w:val="none" w:sz="0" w:space="0" w:color="auto"/>
        <w:bottom w:val="none" w:sz="0" w:space="0" w:color="auto"/>
        <w:right w:val="none" w:sz="0" w:space="0" w:color="auto"/>
      </w:divBdr>
    </w:div>
    <w:div w:id="213012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C5DEA-A843-46DD-90F0-7CB81DB99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1470</Words>
  <Characters>8382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Howatt</dc:creator>
  <cp:keywords>AllLanguages.com - Linguistic Services</cp:keywords>
  <dc:description>Visit Https://My.AllLangauges.com to place your next translation, transcription and/or copy editing request.</dc:description>
  <cp:lastModifiedBy>Jonathan Petsche</cp:lastModifiedBy>
  <cp:revision>2</cp:revision>
  <cp:lastPrinted>2025-03-31T22:40:00Z</cp:lastPrinted>
  <dcterms:created xsi:type="dcterms:W3CDTF">2026-08-25T12:39:00Z</dcterms:created>
  <dcterms:modified xsi:type="dcterms:W3CDTF">2026-08-25T12:39:00Z</dcterms:modified>
</cp:coreProperties>
</file>